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10"/>
          <w:sz w:val="32"/>
          <w:szCs w:val="32"/>
          <w:lang w:val="en-US" w:eastAsia="zh-CN"/>
        </w:rPr>
        <w:t>药 品 配 送 委 托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成都市成华区妇幼保健院：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兹委托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（配送企业名称），作为我公司指定的药品配送企业，负责我公司产品（通用名）：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（规格）：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（本位码）：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（国家医保药品编码）：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，在贵院的药品配送服务。我公司承诺按照《在四川省公立医疗机构药品采购中推行“两票制”实施方案（试行）》文件要求向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公司直接发货，并提供符合规定的全流程发票。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（生产企业鲜章）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111A9"/>
    <w:rsid w:val="0951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2026-06-05T08:12:00Z</dcterms:created>
  <dc:creator>鱼羊璐</dc:creator>
  <cp:lastModifiedBy>鱼羊璐</cp:lastModifiedBy>
  <dcterms:modified xsi:type="dcterms:W3CDTF">2026-06-05T08:13:32Z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