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7"/>
        <w:gridCol w:w="8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6" w:hRule="atLeast"/>
        </w:trPr>
        <w:tc>
          <w:tcPr>
            <w:tcW w:w="1917" w:type="dxa"/>
            <w:vAlign w:val="center"/>
          </w:tcPr>
          <w:p>
            <w:pPr>
              <w:spacing w:line="360" w:lineRule="auto"/>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技术参数功能</w:t>
            </w:r>
          </w:p>
          <w:p>
            <w:pPr>
              <w:spacing w:line="360" w:lineRule="auto"/>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或服务方案</w:t>
            </w:r>
          </w:p>
        </w:tc>
        <w:tc>
          <w:tcPr>
            <w:tcW w:w="8045" w:type="dxa"/>
            <w:vAlign w:val="center"/>
          </w:tcPr>
          <w:p>
            <w:pPr>
              <w:pStyle w:val="2"/>
              <w:bidi w:val="0"/>
              <w:rPr>
                <w:rFonts w:hint="eastAsia"/>
                <w:color w:val="auto"/>
                <w:sz w:val="24"/>
                <w:szCs w:val="24"/>
              </w:rPr>
            </w:pPr>
            <w:r>
              <w:rPr>
                <w:rFonts w:hint="eastAsia"/>
                <w:color w:val="auto"/>
                <w:sz w:val="24"/>
                <w:szCs w:val="24"/>
              </w:rPr>
              <w:t>服务类：技术参数</w:t>
            </w:r>
          </w:p>
          <w:p>
            <w:pP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lang w:val="en-US" w:eastAsia="zh-CN"/>
              </w:rPr>
              <w:t>1.评价</w:t>
            </w:r>
            <w:r>
              <w:rPr>
                <w:rFonts w:hint="eastAsia" w:ascii="宋体" w:hAnsi="宋体" w:eastAsia="宋体" w:cs="宋体"/>
                <w:b/>
                <w:bCs/>
                <w:color w:val="auto"/>
                <w:kern w:val="0"/>
                <w:sz w:val="24"/>
                <w:szCs w:val="24"/>
              </w:rPr>
              <w:t>标准：</w:t>
            </w:r>
          </w:p>
          <w:p>
            <w:pPr>
              <w:rPr>
                <w:rFonts w:hint="eastAsia" w:ascii="宋体" w:hAnsi="宋体" w:eastAsia="宋体" w:cs="宋体"/>
                <w:color w:val="auto"/>
                <w:kern w:val="0"/>
                <w:sz w:val="24"/>
              </w:rPr>
            </w:pPr>
            <w:r>
              <w:rPr>
                <w:rFonts w:hint="eastAsia" w:ascii="宋体" w:hAnsi="宋体" w:eastAsia="宋体" w:cs="宋体"/>
                <w:color w:val="auto"/>
                <w:sz w:val="24"/>
              </w:rPr>
              <w:t>采用国家行业标准</w:t>
            </w:r>
            <w:r>
              <w:rPr>
                <w:rFonts w:hint="eastAsia" w:ascii="宋体" w:hAnsi="宋体" w:eastAsia="宋体" w:cs="宋体"/>
                <w:color w:val="auto"/>
                <w:kern w:val="0"/>
                <w:sz w:val="24"/>
              </w:rPr>
              <w:t>即《中国青少年儿童手腕骨成熟度及评价方法》TY/T3001-2006和</w:t>
            </w:r>
            <w:r>
              <w:rPr>
                <w:rFonts w:hint="eastAsia" w:ascii="宋体" w:hAnsi="宋体" w:cs="宋体"/>
                <w:color w:val="auto"/>
                <w:kern w:val="0"/>
                <w:sz w:val="24"/>
                <w:lang w:val="en-US" w:eastAsia="zh-CN"/>
              </w:rPr>
              <w:t>以及五岁以下发育指数法和</w:t>
            </w:r>
            <w:r>
              <w:rPr>
                <w:rFonts w:hint="eastAsia" w:ascii="宋体" w:hAnsi="宋体" w:eastAsia="宋体" w:cs="宋体"/>
                <w:color w:val="auto"/>
                <w:kern w:val="0"/>
                <w:sz w:val="24"/>
              </w:rPr>
              <w:t>国际通用的TW3法评价骨龄，并结合相关生长学指标。</w:t>
            </w:r>
          </w:p>
          <w:p>
            <w:pPr>
              <w:rPr>
                <w:rFonts w:hint="eastAsia" w:ascii="宋体" w:hAnsi="宋体" w:eastAsia="宋体" w:cs="宋体"/>
                <w:b/>
                <w:bCs/>
                <w:color w:val="auto"/>
                <w:kern w:val="0"/>
                <w:sz w:val="24"/>
                <w:szCs w:val="24"/>
                <w:lang w:val="en-US" w:eastAsia="zh-CN"/>
              </w:rPr>
            </w:pPr>
            <w:r>
              <w:rPr>
                <w:rFonts w:hint="eastAsia" w:ascii="宋体" w:hAnsi="宋体" w:eastAsia="宋体" w:cs="宋体"/>
                <w:b/>
                <w:bCs/>
                <w:color w:val="auto"/>
                <w:kern w:val="0"/>
                <w:sz w:val="24"/>
                <w:szCs w:val="24"/>
                <w:lang w:val="en-US" w:eastAsia="zh-CN"/>
              </w:rPr>
              <w:t>2.</w:t>
            </w:r>
            <w:r>
              <w:rPr>
                <w:rFonts w:hint="eastAsia" w:ascii="宋体" w:hAnsi="宋体" w:eastAsia="宋体" w:cs="宋体"/>
                <w:b/>
                <w:bCs/>
                <w:color w:val="auto"/>
                <w:kern w:val="0"/>
                <w:sz w:val="24"/>
                <w:szCs w:val="24"/>
              </w:rPr>
              <w:t>自动进行掌指骨模式特征</w:t>
            </w:r>
            <w:r>
              <w:rPr>
                <w:rFonts w:hint="eastAsia" w:ascii="宋体" w:hAnsi="宋体" w:eastAsia="宋体" w:cs="宋体"/>
                <w:b/>
                <w:bCs/>
                <w:color w:val="auto"/>
                <w:kern w:val="0"/>
                <w:sz w:val="24"/>
                <w:szCs w:val="24"/>
                <w:lang w:eastAsia="zh-CN"/>
              </w:rPr>
              <w:t>（</w:t>
            </w:r>
            <w:r>
              <w:rPr>
                <w:rFonts w:hint="eastAsia" w:ascii="宋体" w:hAnsi="宋体" w:eastAsia="宋体" w:cs="宋体"/>
                <w:b/>
                <w:bCs/>
                <w:color w:val="auto"/>
                <w:kern w:val="0"/>
                <w:sz w:val="24"/>
                <w:szCs w:val="24"/>
                <w:lang w:val="en-US" w:eastAsia="zh-CN"/>
              </w:rPr>
              <w:t>MCPP)</w:t>
            </w:r>
            <w:r>
              <w:rPr>
                <w:rFonts w:hint="eastAsia" w:ascii="宋体" w:hAnsi="宋体" w:eastAsia="宋体" w:cs="宋体"/>
                <w:b/>
                <w:bCs/>
                <w:color w:val="auto"/>
                <w:kern w:val="0"/>
                <w:sz w:val="24"/>
                <w:szCs w:val="24"/>
              </w:rPr>
              <w:t>分析</w:t>
            </w:r>
            <w:r>
              <w:rPr>
                <w:rFonts w:hint="eastAsia" w:ascii="宋体" w:hAnsi="宋体" w:eastAsia="宋体" w:cs="宋体"/>
                <w:b/>
                <w:bCs/>
                <w:color w:val="auto"/>
                <w:kern w:val="0"/>
                <w:sz w:val="24"/>
                <w:szCs w:val="24"/>
                <w:lang w:val="en-US" w:eastAsia="zh-CN"/>
              </w:rPr>
              <w:t>:</w:t>
            </w:r>
          </w:p>
          <w:p>
            <w:pPr>
              <w:ind w:firstLine="480"/>
              <w:rPr>
                <w:rFonts w:hint="eastAsia" w:ascii="宋体" w:hAnsi="宋体" w:eastAsia="宋体" w:cs="宋体"/>
                <w:color w:val="auto"/>
                <w:sz w:val="24"/>
                <w:szCs w:val="24"/>
              </w:rPr>
            </w:pPr>
            <w:r>
              <w:rPr>
                <w:rFonts w:hint="eastAsia" w:ascii="宋体" w:hAnsi="宋体" w:eastAsia="宋体" w:cs="宋体"/>
                <w:color w:val="auto"/>
                <w:sz w:val="24"/>
                <w:szCs w:val="24"/>
              </w:rPr>
              <w:t>自动识别定位手腕部19跟管状骨的长度并计算SDS，</w:t>
            </w:r>
            <w:r>
              <w:rPr>
                <w:rFonts w:hint="eastAsia" w:ascii="宋体" w:hAnsi="宋体" w:eastAsia="宋体" w:cs="宋体"/>
                <w:color w:val="auto"/>
                <w:sz w:val="24"/>
                <w:szCs w:val="24"/>
                <w:lang w:val="en-US" w:eastAsia="zh-CN"/>
              </w:rPr>
              <w:t>得出</w:t>
            </w:r>
            <w:r>
              <w:rPr>
                <w:rFonts w:hint="eastAsia" w:ascii="宋体" w:hAnsi="宋体" w:eastAsia="宋体" w:cs="宋体"/>
                <w:color w:val="auto"/>
                <w:sz w:val="24"/>
                <w:szCs w:val="24"/>
              </w:rPr>
              <w:t>不少于以下</w:t>
            </w:r>
            <w:r>
              <w:rPr>
                <w:rFonts w:hint="eastAsia" w:ascii="宋体" w:hAnsi="宋体" w:eastAsia="宋体" w:cs="宋体"/>
                <w:color w:val="auto"/>
                <w:sz w:val="24"/>
                <w:szCs w:val="24"/>
                <w:lang w:val="en-US" w:eastAsia="zh-CN"/>
              </w:rPr>
              <w:t>六</w:t>
            </w:r>
            <w:r>
              <w:rPr>
                <w:rFonts w:hint="eastAsia" w:ascii="宋体" w:hAnsi="宋体" w:eastAsia="宋体" w:cs="宋体"/>
                <w:color w:val="auto"/>
                <w:sz w:val="24"/>
                <w:szCs w:val="24"/>
              </w:rPr>
              <w:t>种疾病（特纳综合征、莱利-维尔软骨生成障碍</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遗传性假性甲状旁腺机能低下Ia型疾病、先天愚型综合征、手心综合征、耳-腭-指综合征、Niikawa-Kuroki综合征</w:t>
            </w:r>
            <w:r>
              <w:rPr>
                <w:rFonts w:hint="eastAsia" w:ascii="宋体" w:hAnsi="宋体" w:eastAsia="宋体" w:cs="宋体"/>
                <w:color w:val="auto"/>
                <w:sz w:val="24"/>
                <w:szCs w:val="24"/>
              </w:rPr>
              <w:t>）</w:t>
            </w:r>
          </w:p>
          <w:p>
            <w:pPr>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lang w:val="en-US" w:eastAsia="zh-CN"/>
              </w:rPr>
              <w:t>3.</w:t>
            </w:r>
            <w:r>
              <w:rPr>
                <w:rFonts w:hint="eastAsia" w:ascii="宋体" w:hAnsi="宋体" w:eastAsia="宋体" w:cs="宋体"/>
                <w:b/>
                <w:bCs/>
                <w:color w:val="auto"/>
                <w:sz w:val="24"/>
                <w:szCs w:val="24"/>
              </w:rPr>
              <w:t>自动判断青春期所处发育阶段</w:t>
            </w:r>
          </w:p>
          <w:p>
            <w:pPr>
              <w:ind w:firstLine="240" w:firstLineChars="1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支持籽骨</w:t>
            </w:r>
            <w:r>
              <w:rPr>
                <w:rFonts w:hint="eastAsia" w:ascii="宋体" w:hAnsi="宋体" w:eastAsia="宋体" w:cs="宋体"/>
                <w:color w:val="auto"/>
                <w:sz w:val="24"/>
                <w:szCs w:val="24"/>
                <w:lang w:val="en-US" w:eastAsia="zh-CN"/>
              </w:rPr>
              <w:t>、桡骨、中节指骨</w:t>
            </w:r>
            <w:r>
              <w:rPr>
                <w:rFonts w:hint="eastAsia" w:ascii="宋体" w:hAnsi="宋体" w:eastAsia="宋体" w:cs="宋体"/>
                <w:color w:val="auto"/>
                <w:sz w:val="24"/>
                <w:szCs w:val="24"/>
              </w:rPr>
              <w:t>的自动识别和等级判断</w:t>
            </w:r>
            <w:r>
              <w:rPr>
                <w:rFonts w:hint="eastAsia" w:ascii="宋体" w:hAnsi="宋体" w:eastAsia="宋体" w:cs="宋体"/>
                <w:color w:val="auto"/>
                <w:sz w:val="24"/>
                <w:szCs w:val="24"/>
                <w:lang w:val="en-US" w:eastAsia="zh-CN"/>
              </w:rPr>
              <w:t>以及患者的</w:t>
            </w:r>
            <w:r>
              <w:rPr>
                <w:rFonts w:hint="eastAsia" w:ascii="宋体" w:hAnsi="宋体" w:eastAsia="宋体" w:cs="宋体"/>
                <w:color w:val="auto"/>
                <w:sz w:val="24"/>
                <w:szCs w:val="24"/>
              </w:rPr>
              <w:t>青春期判断</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并于诊断结果与建议模块评价青春期生长期的生长突增，包含：开始突增期、生长加速期、生长速度高峰期、生长减速期、生长突增结束、生长终止。</w:t>
            </w:r>
          </w:p>
          <w:p>
            <w:pPr>
              <w:numPr>
                <w:ilvl w:val="0"/>
                <w:numId w:val="0"/>
              </w:numPr>
              <w:ind w:leftChars="0"/>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lang w:val="en-US" w:eastAsia="zh-CN"/>
              </w:rPr>
              <w:t>4</w:t>
            </w:r>
            <w:r>
              <w:rPr>
                <w:rFonts w:hint="eastAsia" w:ascii="宋体" w:hAnsi="宋体" w:eastAsia="宋体" w:cs="宋体"/>
                <w:color w:val="auto"/>
                <w:kern w:val="0"/>
                <w:sz w:val="24"/>
                <w:szCs w:val="24"/>
                <w:lang w:val="en-US" w:eastAsia="zh-CN"/>
              </w:rPr>
              <w:t>.</w:t>
            </w:r>
            <w:r>
              <w:rPr>
                <w:rFonts w:hint="eastAsia" w:ascii="宋体" w:hAnsi="宋体" w:eastAsia="宋体" w:cs="宋体"/>
                <w:b/>
                <w:bCs/>
                <w:color w:val="auto"/>
                <w:kern w:val="0"/>
                <w:sz w:val="24"/>
                <w:szCs w:val="24"/>
                <w:lang w:val="en-US" w:eastAsia="zh-CN"/>
              </w:rPr>
              <w:t>初诊界面功能不低于以下内容</w:t>
            </w:r>
            <w:r>
              <w:rPr>
                <w:rFonts w:hint="eastAsia" w:ascii="宋体" w:hAnsi="宋体" w:eastAsia="宋体" w:cs="宋体"/>
                <w:b/>
                <w:bCs/>
                <w:color w:val="auto"/>
                <w:kern w:val="0"/>
                <w:sz w:val="24"/>
                <w:szCs w:val="24"/>
              </w:rPr>
              <w:t>：</w:t>
            </w:r>
          </w:p>
          <w:p>
            <w:pPr>
              <w:ind w:firstLine="480" w:firstLineChars="200"/>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初诊页面具有母亲健康状况，家族疾病史，临床观察的单独功能栏，可供自主选择相对应的内容例如高血压、染色体异常、卡尔曼综合征、克兰菲尔特综合征、C-型利钠肤CNP、印度刺猬IHHV、聚蛋白多糖ACAN等等。</w:t>
            </w:r>
          </w:p>
          <w:p>
            <w:pPr>
              <w:numPr>
                <w:ilvl w:val="0"/>
                <w:numId w:val="0"/>
              </w:numPr>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lang w:val="en-US" w:eastAsia="zh-CN"/>
              </w:rPr>
              <w:t>5</w:t>
            </w:r>
            <w:r>
              <w:rPr>
                <w:rFonts w:hint="eastAsia" w:ascii="宋体" w:hAnsi="宋体" w:eastAsia="宋体" w:cs="宋体"/>
                <w:color w:val="auto"/>
                <w:kern w:val="0"/>
                <w:sz w:val="24"/>
                <w:szCs w:val="24"/>
                <w:lang w:val="en-US" w:eastAsia="zh-CN"/>
              </w:rPr>
              <w:t>.</w:t>
            </w:r>
            <w:r>
              <w:rPr>
                <w:rFonts w:hint="eastAsia" w:ascii="宋体" w:hAnsi="宋体" w:eastAsia="宋体" w:cs="宋体"/>
                <w:b/>
                <w:bCs/>
                <w:color w:val="auto"/>
                <w:sz w:val="24"/>
                <w:szCs w:val="24"/>
                <w:lang w:val="en-US" w:eastAsia="zh-CN"/>
              </w:rPr>
              <w:t>检查报告上传功能</w:t>
            </w:r>
            <w:r>
              <w:rPr>
                <w:rFonts w:hint="eastAsia" w:ascii="宋体" w:hAnsi="宋体" w:eastAsia="宋体" w:cs="宋体"/>
                <w:b/>
                <w:bCs/>
                <w:color w:val="auto"/>
                <w:sz w:val="24"/>
                <w:szCs w:val="24"/>
              </w:rPr>
              <w:t>：</w:t>
            </w:r>
          </w:p>
          <w:p>
            <w:pPr>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生理生化或者影像学检验报告的上传，且系统可以实现自动分类功能，为儿童诊断提供持续监测及数据记录。</w:t>
            </w:r>
          </w:p>
          <w:p>
            <w:pPr>
              <w:numPr>
                <w:ilvl w:val="0"/>
                <w:numId w:val="0"/>
              </w:numPr>
              <w:rPr>
                <w:rFonts w:hint="eastAsia" w:ascii="宋体" w:hAnsi="宋体" w:eastAsia="宋体" w:cs="宋体"/>
                <w:b/>
                <w:bCs/>
                <w:color w:val="auto"/>
                <w:kern w:val="0"/>
                <w:sz w:val="24"/>
                <w:szCs w:val="24"/>
              </w:rPr>
            </w:pPr>
            <w:r>
              <w:rPr>
                <w:rFonts w:hint="eastAsia" w:ascii="宋体" w:hAnsi="宋体" w:eastAsia="宋体" w:cs="宋体"/>
                <w:b/>
                <w:bCs/>
                <w:color w:val="auto"/>
                <w:sz w:val="24"/>
                <w:szCs w:val="24"/>
                <w:highlight w:val="none"/>
                <w:shd w:val="clear" w:color="auto" w:fill="auto"/>
                <w:lang w:val="en-US" w:eastAsia="zh-CN"/>
              </w:rPr>
              <w:t>6</w:t>
            </w:r>
            <w:r>
              <w:rPr>
                <w:rFonts w:hint="eastAsia" w:ascii="宋体" w:hAnsi="宋体" w:eastAsia="宋体" w:cs="宋体"/>
                <w:color w:val="auto"/>
                <w:sz w:val="24"/>
                <w:szCs w:val="24"/>
                <w:highlight w:val="none"/>
                <w:shd w:val="clear" w:color="auto" w:fill="auto"/>
                <w:lang w:val="en-US" w:eastAsia="zh-CN"/>
              </w:rPr>
              <w:t>.</w:t>
            </w:r>
            <w:r>
              <w:rPr>
                <w:rFonts w:hint="eastAsia" w:ascii="宋体" w:hAnsi="宋体" w:eastAsia="宋体" w:cs="宋体"/>
                <w:b/>
                <w:bCs/>
                <w:color w:val="auto"/>
                <w:kern w:val="0"/>
                <w:sz w:val="24"/>
                <w:szCs w:val="24"/>
              </w:rPr>
              <w:t>手机诊断功能：</w:t>
            </w:r>
          </w:p>
          <w:p>
            <w:pPr>
              <w:ind w:firstLine="420"/>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为诊断者提供手机端诊断功能，可以由手机端进行评价及报告的生成，</w:t>
            </w:r>
            <w:r>
              <w:rPr>
                <w:rFonts w:hint="eastAsia" w:ascii="宋体" w:hAnsi="宋体" w:eastAsia="宋体" w:cs="宋体"/>
                <w:color w:val="auto"/>
                <w:kern w:val="0"/>
                <w:sz w:val="24"/>
                <w:szCs w:val="24"/>
                <w:lang w:val="en-US" w:eastAsia="zh-CN"/>
              </w:rPr>
              <w:t>并且所有内容与电脑端实现</w:t>
            </w:r>
            <w:r>
              <w:rPr>
                <w:rFonts w:hint="eastAsia" w:ascii="宋体" w:hAnsi="宋体" w:eastAsia="宋体" w:cs="宋体"/>
                <w:color w:val="auto"/>
                <w:kern w:val="0"/>
                <w:sz w:val="24"/>
                <w:szCs w:val="24"/>
              </w:rPr>
              <w:t>互通</w:t>
            </w:r>
            <w:r>
              <w:rPr>
                <w:rFonts w:hint="eastAsia" w:ascii="宋体" w:hAnsi="宋体" w:eastAsia="宋体" w:cs="宋体"/>
                <w:color w:val="auto"/>
                <w:kern w:val="0"/>
                <w:sz w:val="24"/>
                <w:szCs w:val="24"/>
                <w:lang w:eastAsia="zh-CN"/>
              </w:rPr>
              <w:t>。</w:t>
            </w:r>
          </w:p>
          <w:p>
            <w:pPr>
              <w:rPr>
                <w:rFonts w:hint="eastAsia" w:ascii="宋体" w:hAnsi="宋体" w:eastAsia="宋体" w:cs="宋体"/>
                <w:color w:val="auto"/>
                <w:kern w:val="0"/>
                <w:sz w:val="24"/>
                <w:szCs w:val="24"/>
              </w:rPr>
            </w:pPr>
            <w:r>
              <w:rPr>
                <w:rFonts w:hint="eastAsia" w:ascii="宋体" w:hAnsi="宋体" w:eastAsia="宋体" w:cs="宋体"/>
                <w:b/>
                <w:bCs/>
                <w:color w:val="auto"/>
                <w:sz w:val="24"/>
                <w:szCs w:val="24"/>
                <w:lang w:val="en-US" w:eastAsia="zh-CN"/>
              </w:rPr>
              <w:t>7.</w:t>
            </w:r>
            <w:r>
              <w:rPr>
                <w:rFonts w:hint="eastAsia" w:ascii="宋体" w:hAnsi="宋体" w:eastAsia="宋体" w:cs="宋体"/>
                <w:b/>
                <w:bCs/>
                <w:color w:val="auto"/>
                <w:kern w:val="0"/>
                <w:sz w:val="24"/>
                <w:szCs w:val="24"/>
              </w:rPr>
              <w:t>成年身高预测功能：</w:t>
            </w:r>
            <w:r>
              <w:rPr>
                <w:rFonts w:hint="eastAsia" w:ascii="宋体" w:hAnsi="宋体" w:eastAsia="宋体" w:cs="宋体"/>
                <w:color w:val="auto"/>
                <w:kern w:val="0"/>
                <w:sz w:val="24"/>
                <w:szCs w:val="24"/>
              </w:rPr>
              <w:t xml:space="preserve"> 内置中华</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- 05 II 法、TW3 法、投射法，支持多模型结果对比，并允许医生手动修正预测数值，提升临床决策灵活性。</w:t>
            </w:r>
          </w:p>
          <w:p>
            <w:pPr>
              <w:numPr>
                <w:ilvl w:val="0"/>
                <w:numId w:val="0"/>
              </w:numPr>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8</w:t>
            </w:r>
            <w:r>
              <w:rPr>
                <w:rFonts w:hint="eastAsia" w:ascii="宋体" w:hAnsi="宋体" w:eastAsia="宋体" w:cs="宋体"/>
                <w:color w:val="auto"/>
                <w:sz w:val="24"/>
                <w:szCs w:val="24"/>
                <w:lang w:val="en-US" w:eastAsia="zh-CN"/>
              </w:rPr>
              <w:t>.</w:t>
            </w:r>
            <w:r>
              <w:rPr>
                <w:rFonts w:hint="eastAsia" w:ascii="宋体" w:hAnsi="宋体" w:eastAsia="宋体" w:cs="宋体"/>
                <w:b/>
                <w:bCs/>
                <w:color w:val="auto"/>
                <w:sz w:val="24"/>
                <w:szCs w:val="24"/>
              </w:rPr>
              <w:t>中华-05的相关评价及图表</w:t>
            </w:r>
            <w:r>
              <w:rPr>
                <w:rFonts w:hint="eastAsia" w:ascii="宋体" w:hAnsi="宋体" w:eastAsia="宋体" w:cs="宋体"/>
                <w:b/>
                <w:bCs/>
                <w:color w:val="auto"/>
                <w:sz w:val="24"/>
                <w:szCs w:val="24"/>
                <w:lang w:val="en-US" w:eastAsia="zh-CN"/>
              </w:rPr>
              <w:t>包含但不低于以下曲线图：</w:t>
            </w:r>
          </w:p>
          <w:p>
            <w:pPr>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RSA</w:t>
            </w:r>
            <w:r>
              <w:rPr>
                <w:rFonts w:hint="eastAsia" w:ascii="宋体" w:hAnsi="宋体" w:eastAsia="宋体" w:cs="宋体"/>
                <w:color w:val="auto"/>
                <w:sz w:val="24"/>
                <w:szCs w:val="24"/>
                <w:lang w:val="en-US" w:eastAsia="zh-CN"/>
              </w:rPr>
              <w:t>年龄</w:t>
            </w:r>
            <w:r>
              <w:rPr>
                <w:rFonts w:hint="eastAsia" w:ascii="宋体" w:hAnsi="宋体" w:eastAsia="宋体" w:cs="宋体"/>
                <w:color w:val="auto"/>
                <w:sz w:val="24"/>
                <w:szCs w:val="24"/>
              </w:rPr>
              <w:t>身高</w:t>
            </w:r>
            <w:r>
              <w:rPr>
                <w:rFonts w:hint="eastAsia" w:ascii="宋体" w:hAnsi="宋体" w:eastAsia="宋体" w:cs="宋体"/>
                <w:color w:val="auto"/>
                <w:sz w:val="24"/>
                <w:szCs w:val="24"/>
                <w:lang w:val="en-US" w:eastAsia="zh-CN"/>
              </w:rPr>
              <w:t>百分位数曲线图</w:t>
            </w:r>
          </w:p>
          <w:p>
            <w:pPr>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RSA</w:t>
            </w:r>
            <w:r>
              <w:rPr>
                <w:rFonts w:hint="eastAsia" w:ascii="宋体" w:hAnsi="宋体" w:eastAsia="宋体" w:cs="宋体"/>
                <w:color w:val="auto"/>
                <w:sz w:val="24"/>
                <w:szCs w:val="24"/>
                <w:lang w:val="en-US" w:eastAsia="zh-CN"/>
              </w:rPr>
              <w:t>年龄体重百分位数曲线图</w:t>
            </w:r>
          </w:p>
          <w:p>
            <w:pPr>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RSA</w:t>
            </w:r>
            <w:r>
              <w:rPr>
                <w:rFonts w:hint="eastAsia" w:ascii="宋体" w:hAnsi="宋体" w:eastAsia="宋体" w:cs="宋体"/>
                <w:color w:val="auto"/>
                <w:sz w:val="24"/>
                <w:szCs w:val="24"/>
                <w:lang w:val="en-US" w:eastAsia="zh-CN"/>
              </w:rPr>
              <w:t>年龄</w:t>
            </w:r>
            <w:r>
              <w:rPr>
                <w:rFonts w:hint="eastAsia" w:ascii="宋体" w:hAnsi="宋体" w:eastAsia="宋体" w:cs="宋体"/>
                <w:color w:val="auto"/>
                <w:sz w:val="24"/>
                <w:szCs w:val="24"/>
              </w:rPr>
              <w:t>BMI</w:t>
            </w:r>
            <w:r>
              <w:rPr>
                <w:rFonts w:hint="eastAsia" w:ascii="宋体" w:hAnsi="宋体" w:eastAsia="宋体" w:cs="宋体"/>
                <w:color w:val="auto"/>
                <w:sz w:val="24"/>
                <w:szCs w:val="24"/>
                <w:lang w:val="en-US" w:eastAsia="zh-CN"/>
              </w:rPr>
              <w:t>百分位数</w:t>
            </w:r>
            <w:r>
              <w:rPr>
                <w:rFonts w:hint="eastAsia" w:ascii="宋体" w:hAnsi="宋体" w:eastAsia="宋体" w:cs="宋体"/>
                <w:color w:val="auto"/>
                <w:sz w:val="24"/>
                <w:szCs w:val="24"/>
              </w:rPr>
              <w:t>曲线</w:t>
            </w:r>
            <w:r>
              <w:rPr>
                <w:rFonts w:hint="eastAsia" w:ascii="宋体" w:hAnsi="宋体" w:eastAsia="宋体" w:cs="宋体"/>
                <w:color w:val="auto"/>
                <w:sz w:val="24"/>
                <w:szCs w:val="24"/>
                <w:lang w:val="en-US" w:eastAsia="zh-CN"/>
              </w:rPr>
              <w:t xml:space="preserve">图 </w:t>
            </w:r>
          </w:p>
          <w:p>
            <w:pPr>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按父母身高中值修正的身高百分位数曲线图</w:t>
            </w:r>
          </w:p>
          <w:p>
            <w:pPr>
              <w:rPr>
                <w:rFonts w:hint="eastAsia" w:ascii="宋体" w:hAnsi="宋体" w:eastAsia="宋体" w:cs="宋体"/>
                <w:color w:val="auto"/>
                <w:sz w:val="24"/>
                <w:szCs w:val="24"/>
              </w:rPr>
            </w:pPr>
            <w:r>
              <w:rPr>
                <w:rFonts w:hint="eastAsia" w:ascii="宋体" w:hAnsi="宋体" w:eastAsia="宋体" w:cs="宋体"/>
                <w:b/>
                <w:bCs/>
                <w:color w:val="auto"/>
                <w:sz w:val="24"/>
                <w:szCs w:val="24"/>
                <w:lang w:val="en-US" w:eastAsia="zh-CN"/>
              </w:rPr>
              <w:t>9.</w:t>
            </w:r>
            <w:r>
              <w:rPr>
                <w:rFonts w:hint="eastAsia" w:ascii="宋体" w:hAnsi="宋体" w:eastAsia="宋体" w:cs="宋体"/>
                <w:color w:val="auto"/>
                <w:sz w:val="24"/>
                <w:szCs w:val="24"/>
                <w:lang w:val="en-US" w:eastAsia="zh-CN"/>
              </w:rPr>
              <w:t>采用适合</w:t>
            </w:r>
            <w:r>
              <w:rPr>
                <w:rFonts w:hint="eastAsia" w:ascii="宋体" w:hAnsi="宋体" w:eastAsia="宋体" w:cs="宋体"/>
                <w:color w:val="auto"/>
                <w:sz w:val="24"/>
                <w:szCs w:val="24"/>
              </w:rPr>
              <w:t>中国儿童</w:t>
            </w:r>
            <w:r>
              <w:rPr>
                <w:rFonts w:hint="eastAsia" w:ascii="宋体" w:hAnsi="宋体" w:eastAsia="宋体" w:cs="宋体"/>
                <w:color w:val="auto"/>
                <w:sz w:val="24"/>
                <w:szCs w:val="24"/>
                <w:lang w:val="en-US" w:eastAsia="zh-CN"/>
              </w:rPr>
              <w:t>的</w:t>
            </w:r>
            <w:r>
              <w:rPr>
                <w:rFonts w:hint="eastAsia" w:ascii="宋体" w:hAnsi="宋体" w:eastAsia="宋体" w:cs="宋体"/>
                <w:color w:val="auto"/>
                <w:sz w:val="24"/>
                <w:szCs w:val="24"/>
              </w:rPr>
              <w:t>生长学标准：</w:t>
            </w:r>
          </w:p>
          <w:p>
            <w:pPr>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《不同胎龄新生儿出生时的生长标准》</w:t>
            </w:r>
            <w:r>
              <w:rPr>
                <w:rFonts w:hint="eastAsia" w:ascii="宋体" w:hAnsi="宋体" w:eastAsia="宋体" w:cs="宋体"/>
                <w:color w:val="auto"/>
                <w:sz w:val="24"/>
                <w:szCs w:val="24"/>
                <w:lang w:val="en-US" w:eastAsia="zh-CN"/>
              </w:rPr>
              <w:t xml:space="preserve">  国家卫生行业标准WS/T 800—2022</w:t>
            </w:r>
          </w:p>
          <w:p>
            <w:pPr>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《中国儿童0~18岁儿童、青少年身高、体重标准》</w:t>
            </w:r>
            <w:r>
              <w:rPr>
                <w:rFonts w:hint="eastAsia" w:ascii="宋体" w:hAnsi="宋体" w:eastAsia="宋体" w:cs="宋体"/>
                <w:color w:val="auto"/>
                <w:sz w:val="24"/>
                <w:szCs w:val="24"/>
              </w:rPr>
              <w:t>（2009李辉等）</w:t>
            </w:r>
          </w:p>
          <w:p>
            <w:pPr>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《7岁以下生长学标准》</w:t>
            </w:r>
            <w:r>
              <w:rPr>
                <w:rFonts w:hint="eastAsia" w:ascii="宋体" w:hAnsi="宋体" w:eastAsia="宋体" w:cs="宋体"/>
                <w:color w:val="auto"/>
                <w:sz w:val="24"/>
                <w:szCs w:val="24"/>
              </w:rPr>
              <w:t>（2023年李辉等）</w:t>
            </w:r>
          </w:p>
          <w:p>
            <w:pPr>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《学龄儿童青少年营养不良筛查》</w:t>
            </w:r>
            <w:r>
              <w:rPr>
                <w:rFonts w:hint="eastAsia" w:ascii="宋体" w:hAnsi="宋体" w:eastAsia="宋体" w:cs="宋体"/>
                <w:color w:val="auto"/>
                <w:sz w:val="24"/>
                <w:szCs w:val="24"/>
                <w:lang w:val="en-US" w:eastAsia="zh-CN"/>
              </w:rPr>
              <w:t xml:space="preserve">  国家卫生行业标准</w:t>
            </w:r>
            <w:r>
              <w:rPr>
                <w:rFonts w:hint="eastAsia" w:ascii="宋体" w:hAnsi="宋体" w:eastAsia="宋体" w:cs="宋体"/>
                <w:color w:val="auto"/>
                <w:sz w:val="24"/>
                <w:szCs w:val="24"/>
                <w:lang w:eastAsia="zh-CN"/>
              </w:rPr>
              <w:t>WS/T 456-2014</w:t>
            </w:r>
          </w:p>
          <w:p>
            <w:pPr>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《学龄儿童青少年超重与肥胖标准</w:t>
            </w:r>
            <w:r>
              <w:rPr>
                <w:rFonts w:hint="eastAsia" w:ascii="宋体" w:hAnsi="宋体" w:eastAsia="宋体" w:cs="宋体"/>
                <w:color w:val="auto"/>
                <w:sz w:val="24"/>
                <w:szCs w:val="24"/>
                <w:lang w:val="en-US" w:eastAsia="zh-CN"/>
              </w:rPr>
              <w:t>筛查</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国家卫生行业标准</w:t>
            </w:r>
            <w:r>
              <w:rPr>
                <w:rFonts w:hint="eastAsia" w:ascii="宋体" w:hAnsi="宋体" w:eastAsia="宋体" w:cs="宋体"/>
                <w:color w:val="auto"/>
                <w:sz w:val="24"/>
                <w:szCs w:val="24"/>
                <w:lang w:eastAsia="zh-CN"/>
              </w:rPr>
              <w:t>WS/T</w:t>
            </w:r>
            <w:r>
              <w:rPr>
                <w:rFonts w:hint="eastAsia" w:ascii="宋体" w:hAnsi="宋体" w:eastAsia="宋体" w:cs="宋体"/>
                <w:color w:val="auto"/>
                <w:sz w:val="24"/>
                <w:szCs w:val="24"/>
                <w:lang w:val="en-US" w:eastAsia="zh-CN"/>
              </w:rPr>
              <w:t>586-2018</w:t>
            </w:r>
          </w:p>
          <w:p>
            <w:pPr>
              <w:rPr>
                <w:rFonts w:hint="eastAsia" w:ascii="宋体" w:hAnsi="宋体" w:eastAsia="宋体" w:cs="宋体"/>
                <w:color w:val="auto"/>
                <w:sz w:val="24"/>
                <w:szCs w:val="24"/>
              </w:rPr>
            </w:pPr>
            <w:r>
              <w:rPr>
                <w:rFonts w:hint="eastAsia" w:ascii="宋体" w:hAnsi="宋体" w:eastAsia="宋体" w:cs="宋体"/>
                <w:b/>
                <w:bCs/>
                <w:color w:val="auto"/>
                <w:sz w:val="24"/>
                <w:szCs w:val="24"/>
                <w:lang w:val="en-US" w:eastAsia="zh-CN"/>
              </w:rPr>
              <w:t>10</w:t>
            </w:r>
            <w:r>
              <w:rPr>
                <w:rFonts w:hint="eastAsia" w:ascii="宋体" w:hAnsi="宋体" w:eastAsia="宋体" w:cs="宋体"/>
                <w:color w:val="auto"/>
                <w:sz w:val="24"/>
                <w:szCs w:val="24"/>
                <w:lang w:val="en-US" w:eastAsia="zh-CN"/>
              </w:rPr>
              <w:t>.</w:t>
            </w:r>
            <w:r>
              <w:rPr>
                <w:rFonts w:hint="eastAsia" w:ascii="宋体" w:hAnsi="宋体" w:eastAsia="宋体" w:cs="宋体"/>
                <w:b/>
                <w:bCs/>
                <w:color w:val="auto"/>
                <w:sz w:val="24"/>
                <w:szCs w:val="24"/>
              </w:rPr>
              <w:t>报告形式不低于三种形式</w:t>
            </w:r>
            <w:r>
              <w:rPr>
                <w:rFonts w:hint="eastAsia" w:ascii="宋体" w:hAnsi="宋体" w:eastAsia="宋体" w:cs="宋体"/>
                <w:color w:val="auto"/>
                <w:sz w:val="24"/>
                <w:szCs w:val="24"/>
              </w:rPr>
              <w:t>：通用版报告，家长版报告，专业版报告，可供临床自主选择。</w:t>
            </w:r>
          </w:p>
          <w:p>
            <w:pPr>
              <w:rPr>
                <w:rFonts w:hint="default" w:ascii="宋体" w:hAnsi="宋体" w:eastAsia="宋体" w:cs="宋体"/>
                <w:color w:val="auto"/>
                <w:sz w:val="24"/>
                <w:szCs w:val="24"/>
                <w:lang w:val="en-US" w:eastAsia="zh-CN"/>
              </w:rPr>
            </w:pPr>
            <w:r>
              <w:rPr>
                <w:rFonts w:hint="eastAsia" w:ascii="宋体" w:hAnsi="宋体" w:eastAsia="宋体" w:cs="宋体"/>
                <w:b/>
                <w:bCs/>
                <w:color w:val="auto"/>
                <w:sz w:val="24"/>
                <w:szCs w:val="24"/>
                <w:lang w:val="en-US" w:eastAsia="zh-CN"/>
              </w:rPr>
              <w:t>11</w:t>
            </w:r>
            <w:r>
              <w:rPr>
                <w:rFonts w:hint="eastAsia" w:ascii="宋体" w:hAnsi="宋体" w:eastAsia="宋体" w:cs="宋体"/>
                <w:color w:val="auto"/>
                <w:sz w:val="24"/>
                <w:szCs w:val="24"/>
                <w:lang w:val="en-US" w:eastAsia="zh-CN"/>
              </w:rPr>
              <w:t>.需</w:t>
            </w:r>
            <w:r>
              <w:rPr>
                <w:rFonts w:hint="eastAsia" w:ascii="宋体" w:hAnsi="宋体" w:eastAsia="宋体" w:cs="宋体"/>
                <w:color w:val="auto"/>
                <w:sz w:val="24"/>
                <w:szCs w:val="24"/>
                <w:lang w:eastAsia="zh-CN"/>
              </w:rPr>
              <w:t>提供系统的软</w:t>
            </w:r>
            <w:r>
              <w:rPr>
                <w:rFonts w:hint="eastAsia" w:ascii="宋体" w:hAnsi="宋体" w:cs="宋体"/>
                <w:color w:val="auto"/>
                <w:sz w:val="24"/>
                <w:szCs w:val="24"/>
                <w:lang w:val="en-US" w:eastAsia="zh-CN"/>
              </w:rPr>
              <w:t>件</w:t>
            </w:r>
            <w:r>
              <w:rPr>
                <w:rFonts w:hint="eastAsia" w:ascii="宋体" w:hAnsi="宋体" w:eastAsia="宋体" w:cs="宋体"/>
                <w:color w:val="auto"/>
                <w:sz w:val="24"/>
                <w:szCs w:val="24"/>
                <w:lang w:eastAsia="zh-CN"/>
              </w:rPr>
              <w:t>著</w:t>
            </w:r>
            <w:r>
              <w:rPr>
                <w:rFonts w:hint="eastAsia" w:ascii="宋体" w:hAnsi="宋体" w:cs="宋体"/>
                <w:color w:val="auto"/>
                <w:sz w:val="24"/>
                <w:szCs w:val="24"/>
                <w:lang w:val="en-US" w:eastAsia="zh-CN"/>
              </w:rPr>
              <w:t>作权</w:t>
            </w:r>
            <w:r>
              <w:rPr>
                <w:rFonts w:hint="eastAsia" w:ascii="宋体" w:hAnsi="宋体" w:eastAsia="宋体" w:cs="宋体"/>
                <w:color w:val="auto"/>
                <w:sz w:val="24"/>
                <w:szCs w:val="24"/>
                <w:lang w:eastAsia="zh-CN"/>
              </w:rPr>
              <w:t>证书</w:t>
            </w:r>
            <w:r>
              <w:rPr>
                <w:rFonts w:hint="eastAsia" w:ascii="宋体" w:hAnsi="宋体" w:cs="宋体"/>
                <w:color w:val="auto"/>
                <w:sz w:val="24"/>
                <w:szCs w:val="24"/>
                <w:lang w:val="en-US" w:eastAsia="zh-CN"/>
              </w:rPr>
              <w:t>以及</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eastAsia="zh-CN"/>
              </w:rPr>
              <w:t>中华05及其应用</w:t>
            </w:r>
            <w:r>
              <w:rPr>
                <w:rFonts w:hint="eastAsia" w:ascii="宋体" w:hAnsi="宋体" w:eastAsia="宋体" w:cs="宋体"/>
                <w:color w:val="auto"/>
                <w:kern w:val="0"/>
                <w:sz w:val="24"/>
                <w:szCs w:val="24"/>
              </w:rPr>
              <w:t>》TY/T3001-2006法</w:t>
            </w:r>
            <w:r>
              <w:rPr>
                <w:rFonts w:hint="eastAsia" w:ascii="宋体" w:hAnsi="宋体" w:eastAsia="宋体" w:cs="宋体"/>
                <w:color w:val="auto"/>
                <w:kern w:val="0"/>
                <w:sz w:val="24"/>
                <w:szCs w:val="24"/>
                <w:lang w:val="en-US" w:eastAsia="zh-CN"/>
              </w:rPr>
              <w:t>制定者</w:t>
            </w:r>
            <w:r>
              <w:rPr>
                <w:rFonts w:hint="eastAsia" w:ascii="宋体" w:hAnsi="宋体" w:eastAsia="宋体" w:cs="宋体"/>
                <w:color w:val="auto"/>
                <w:sz w:val="24"/>
                <w:szCs w:val="24"/>
                <w:lang w:eastAsia="zh-CN"/>
              </w:rPr>
              <w:t>著作权授权书（</w:t>
            </w:r>
            <w:r>
              <w:rPr>
                <w:rFonts w:hint="eastAsia" w:ascii="宋体" w:hAnsi="宋体" w:eastAsia="宋体" w:cs="宋体"/>
                <w:color w:val="auto"/>
                <w:sz w:val="24"/>
                <w:szCs w:val="24"/>
                <w:lang w:val="en-US" w:eastAsia="zh-CN"/>
              </w:rPr>
              <w:t>确保</w:t>
            </w:r>
            <w:r>
              <w:rPr>
                <w:rFonts w:hint="eastAsia" w:ascii="宋体" w:hAnsi="宋体" w:eastAsia="宋体" w:cs="宋体"/>
                <w:color w:val="auto"/>
                <w:sz w:val="24"/>
                <w:szCs w:val="24"/>
                <w:lang w:eastAsia="zh-CN"/>
              </w:rPr>
              <w:t>所提供的服务或其任何一部分均不会侵犯任何第三方的专利权、商标权或著作权）</w:t>
            </w:r>
          </w:p>
          <w:p>
            <w:pPr>
              <w:numPr>
                <w:ilvl w:val="0"/>
                <w:numId w:val="0"/>
              </w:numPr>
              <w:rPr>
                <w:rFonts w:hint="eastAsia" w:ascii="宋体" w:hAnsi="宋体" w:eastAsia="宋体" w:cs="宋体"/>
                <w:b/>
                <w:bCs/>
                <w:color w:val="auto"/>
                <w:kern w:val="0"/>
                <w:sz w:val="24"/>
              </w:rPr>
            </w:pPr>
            <w:r>
              <w:rPr>
                <w:rFonts w:hint="eastAsia" w:ascii="宋体" w:hAnsi="宋体" w:eastAsia="宋体" w:cs="宋体"/>
                <w:b/>
                <w:bCs/>
                <w:color w:val="auto"/>
                <w:sz w:val="24"/>
                <w:szCs w:val="24"/>
                <w:lang w:val="en-US" w:eastAsia="zh-CN"/>
              </w:rPr>
              <w:t>12</w:t>
            </w:r>
            <w:r>
              <w:rPr>
                <w:rFonts w:hint="eastAsia" w:ascii="宋体" w:hAnsi="宋体" w:eastAsia="宋体" w:cs="宋体"/>
                <w:color w:val="auto"/>
                <w:sz w:val="24"/>
                <w:szCs w:val="24"/>
                <w:lang w:val="en-US" w:eastAsia="zh-CN"/>
              </w:rPr>
              <w:t>.</w:t>
            </w:r>
            <w:r>
              <w:rPr>
                <w:rFonts w:hint="eastAsia" w:ascii="宋体" w:hAnsi="宋体" w:eastAsia="宋体" w:cs="宋体"/>
                <w:b/>
                <w:bCs/>
                <w:color w:val="auto"/>
                <w:kern w:val="0"/>
                <w:sz w:val="24"/>
              </w:rPr>
              <w:t>骨龄仪对接功能：</w:t>
            </w:r>
          </w:p>
          <w:p>
            <w:pPr>
              <w:ind w:firstLine="420"/>
              <w:rPr>
                <w:rFonts w:hint="eastAsia" w:ascii="宋体" w:hAnsi="宋体" w:eastAsia="宋体" w:cs="宋体"/>
                <w:color w:val="auto"/>
                <w:kern w:val="0"/>
                <w:sz w:val="24"/>
              </w:rPr>
            </w:pPr>
            <w:r>
              <w:rPr>
                <w:rFonts w:hint="eastAsia" w:ascii="宋体" w:hAnsi="宋体" w:eastAsia="宋体" w:cs="宋体"/>
                <w:color w:val="auto"/>
                <w:kern w:val="0"/>
                <w:sz w:val="24"/>
              </w:rPr>
              <w:t>骨龄诊断界面留有骨龄仪选项，并预留接口，可以匹配</w:t>
            </w:r>
            <w:r>
              <w:rPr>
                <w:rFonts w:hint="eastAsia" w:ascii="宋体" w:hAnsi="宋体" w:cs="宋体"/>
                <w:color w:val="auto"/>
                <w:kern w:val="0"/>
                <w:sz w:val="24"/>
                <w:lang w:val="en-US" w:eastAsia="zh-CN"/>
              </w:rPr>
              <w:t>市面上</w:t>
            </w:r>
            <w:r>
              <w:rPr>
                <w:rFonts w:hint="eastAsia" w:ascii="宋体" w:hAnsi="宋体" w:eastAsia="宋体" w:cs="宋体"/>
                <w:color w:val="auto"/>
                <w:kern w:val="0"/>
                <w:sz w:val="24"/>
              </w:rPr>
              <w:t>常用骨龄拍摄设备，方便医生快速导入手片。</w:t>
            </w:r>
          </w:p>
          <w:p>
            <w:pPr>
              <w:rPr>
                <w:rFonts w:hint="eastAsia" w:ascii="宋体" w:hAnsi="宋体" w:eastAsia="宋体" w:cs="宋体"/>
                <w:color w:val="auto"/>
                <w:kern w:val="0"/>
                <w:sz w:val="24"/>
                <w:szCs w:val="24"/>
                <w:lang w:val="en-US" w:eastAsia="zh-CN"/>
              </w:rPr>
            </w:pPr>
          </w:p>
          <w:p>
            <w:pPr>
              <w:numPr>
                <w:ilvl w:val="0"/>
                <w:numId w:val="0"/>
              </w:numPr>
              <w:ind w:leftChars="0"/>
              <w:rPr>
                <w:rFonts w:hint="eastAsia" w:ascii="宋体" w:hAnsi="宋体" w:eastAsia="宋体" w:cs="宋体"/>
                <w:color w:val="auto"/>
                <w:sz w:val="24"/>
                <w:szCs w:val="24"/>
                <w:lang w:val="en-US" w:eastAsia="zh-CN"/>
              </w:rPr>
            </w:pPr>
            <w:r>
              <w:rPr>
                <w:rFonts w:hint="eastAsia" w:ascii="宋体" w:hAnsi="宋体" w:eastAsia="宋体" w:cs="宋体"/>
                <w:b/>
                <w:bCs/>
                <w:color w:val="auto"/>
                <w:kern w:val="0"/>
                <w:sz w:val="24"/>
                <w:szCs w:val="24"/>
                <w:lang w:val="en-US" w:eastAsia="zh-CN" w:bidi="ar-SA"/>
              </w:rPr>
              <w:t>13、</w:t>
            </w:r>
            <w:r>
              <w:rPr>
                <w:rFonts w:hint="eastAsia" w:ascii="宋体" w:hAnsi="宋体" w:eastAsia="宋体" w:cs="宋体"/>
                <w:b/>
                <w:bCs/>
                <w:color w:val="auto"/>
                <w:sz w:val="24"/>
                <w:szCs w:val="24"/>
                <w:lang w:val="en-US" w:eastAsia="zh-CN"/>
              </w:rPr>
              <w:t>专家远程会诊功能：</w:t>
            </w:r>
            <w:r>
              <w:rPr>
                <w:rFonts w:hint="eastAsia" w:ascii="宋体" w:hAnsi="宋体" w:eastAsia="宋体" w:cs="宋体"/>
                <w:color w:val="auto"/>
                <w:sz w:val="24"/>
                <w:szCs w:val="24"/>
                <w:lang w:val="en-US" w:eastAsia="zh-CN"/>
              </w:rPr>
              <w:t>可同步生长报告、实验室检查、影像学检查，并可手动选择值班医生，手机端及电脑端可实现视频通话功能。</w:t>
            </w:r>
          </w:p>
          <w:p>
            <w:pPr>
              <w:numPr>
                <w:ilvl w:val="0"/>
                <w:numId w:val="0"/>
              </w:numPr>
              <w:ind w:leftChars="0"/>
              <w:rPr>
                <w:rFonts w:hint="default" w:ascii="宋体" w:hAnsi="宋体" w:eastAsia="宋体" w:cs="宋体"/>
                <w:color w:val="auto"/>
                <w:sz w:val="24"/>
                <w:szCs w:val="24"/>
                <w:lang w:val="en-US" w:eastAsia="zh-CN"/>
              </w:rPr>
            </w:pPr>
            <w:r>
              <w:rPr>
                <w:rFonts w:hint="eastAsia" w:ascii="宋体" w:hAnsi="宋体" w:eastAsia="宋体" w:cs="宋体"/>
                <w:b/>
                <w:bCs/>
                <w:color w:val="auto"/>
                <w:sz w:val="24"/>
                <w:szCs w:val="24"/>
                <w:lang w:val="en-US" w:eastAsia="zh-CN"/>
              </w:rPr>
              <w:t>14</w:t>
            </w:r>
            <w:r>
              <w:rPr>
                <w:rFonts w:hint="eastAsia" w:ascii="宋体" w:hAnsi="宋体" w:eastAsia="宋体" w:cs="宋体"/>
                <w:color w:val="auto"/>
                <w:sz w:val="24"/>
                <w:szCs w:val="24"/>
                <w:lang w:val="en-US" w:eastAsia="zh-CN"/>
              </w:rPr>
              <w:t>、</w:t>
            </w:r>
            <w:r>
              <w:rPr>
                <w:rFonts w:hint="eastAsia" w:ascii="宋体" w:hAnsi="宋体" w:eastAsia="宋体" w:cs="宋体"/>
                <w:b/>
                <w:bCs/>
                <w:color w:val="auto"/>
                <w:sz w:val="24"/>
                <w:szCs w:val="24"/>
                <w:lang w:val="en-US" w:eastAsia="zh-CN"/>
              </w:rPr>
              <w:t>生长学指标注释详解：</w:t>
            </w:r>
            <w:r>
              <w:rPr>
                <w:rFonts w:hint="eastAsia" w:ascii="宋体" w:hAnsi="宋体" w:eastAsia="宋体" w:cs="宋体"/>
                <w:color w:val="auto"/>
                <w:sz w:val="24"/>
                <w:szCs w:val="24"/>
                <w:lang w:val="en-US" w:eastAsia="zh-CN"/>
              </w:rPr>
              <w:t>对于生长学指标，软件内有世界卫生组织发布的注释，用户可随时查阅，深入了解生长学指标的意义与作用。</w:t>
            </w:r>
          </w:p>
          <w:p>
            <w:pPr>
              <w:rPr>
                <w:rFonts w:hint="default" w:ascii="宋体" w:hAnsi="宋体" w:eastAsia="宋体" w:cs="宋体"/>
                <w:color w:val="auto"/>
                <w:kern w:val="0"/>
                <w:sz w:val="24"/>
                <w:szCs w:val="24"/>
                <w:lang w:val="en-US" w:eastAsia="zh-CN"/>
              </w:rPr>
            </w:pPr>
            <w:r>
              <w:rPr>
                <w:rFonts w:hint="eastAsia" w:ascii="宋体" w:hAnsi="宋体" w:eastAsia="宋体" w:cs="宋体"/>
                <w:b/>
                <w:bCs/>
                <w:color w:val="auto"/>
                <w:kern w:val="0"/>
                <w:sz w:val="24"/>
                <w:szCs w:val="24"/>
                <w:lang w:val="en-US" w:eastAsia="zh-CN"/>
              </w:rPr>
              <w:t>15</w:t>
            </w:r>
            <w:r>
              <w:rPr>
                <w:rFonts w:hint="eastAsia" w:ascii="宋体" w:hAnsi="宋体" w:eastAsia="宋体" w:cs="宋体"/>
                <w:color w:val="auto"/>
                <w:kern w:val="0"/>
                <w:sz w:val="24"/>
                <w:szCs w:val="24"/>
                <w:lang w:val="en-US" w:eastAsia="zh-CN"/>
              </w:rPr>
              <w:t>、</w:t>
            </w:r>
            <w:r>
              <w:rPr>
                <w:rFonts w:hint="eastAsia" w:ascii="宋体" w:hAnsi="宋体" w:eastAsia="宋体" w:cs="宋体"/>
                <w:b/>
                <w:bCs/>
                <w:color w:val="auto"/>
                <w:kern w:val="0"/>
                <w:sz w:val="24"/>
                <w:szCs w:val="24"/>
              </w:rPr>
              <w:t>筛查功能</w:t>
            </w:r>
            <w:r>
              <w:rPr>
                <w:rFonts w:hint="eastAsia" w:ascii="宋体" w:hAnsi="宋体" w:eastAsia="宋体" w:cs="宋体"/>
                <w:b/>
                <w:bCs/>
                <w:color w:val="auto"/>
                <w:kern w:val="0"/>
                <w:sz w:val="24"/>
                <w:szCs w:val="24"/>
                <w:lang w:eastAsia="zh-CN"/>
              </w:rPr>
              <w:t>：</w:t>
            </w:r>
            <w:r>
              <w:rPr>
                <w:rFonts w:hint="eastAsia" w:ascii="宋体" w:hAnsi="宋体" w:eastAsia="宋体" w:cs="宋体"/>
                <w:color w:val="auto"/>
                <w:kern w:val="0"/>
                <w:sz w:val="24"/>
                <w:szCs w:val="24"/>
                <w:lang w:val="en-US" w:eastAsia="zh-CN"/>
              </w:rPr>
              <w:t>系统内置二维码，家长手机扫码填写儿童初诊信息，自动更新到电脑端的未完成列表，临床医生根据孩子的情况更新医嘱生成报告，自动同步到家长端</w:t>
            </w:r>
          </w:p>
          <w:p>
            <w:pPr>
              <w:numPr>
                <w:ilvl w:val="0"/>
                <w:numId w:val="0"/>
              </w:numPr>
              <w:ind w:leftChars="0"/>
              <w:rPr>
                <w:rFonts w:hint="eastAsia" w:ascii="宋体" w:hAnsi="宋体" w:eastAsia="宋体" w:cs="宋体"/>
                <w:color w:val="auto"/>
                <w:sz w:val="24"/>
                <w:szCs w:val="24"/>
                <w:lang w:val="en-US" w:eastAsia="zh-CN"/>
              </w:rPr>
            </w:pPr>
            <w:r>
              <w:rPr>
                <w:rFonts w:hint="eastAsia" w:ascii="宋体" w:hAnsi="宋体" w:eastAsia="宋体" w:cs="宋体"/>
                <w:b/>
                <w:bCs/>
                <w:color w:val="auto"/>
                <w:sz w:val="24"/>
                <w:szCs w:val="24"/>
                <w:lang w:val="en-US" w:eastAsia="zh-CN"/>
              </w:rPr>
              <w:t>16</w:t>
            </w:r>
            <w:r>
              <w:rPr>
                <w:rFonts w:hint="eastAsia" w:ascii="宋体" w:hAnsi="宋体" w:eastAsia="宋体" w:cs="宋体"/>
                <w:color w:val="auto"/>
                <w:sz w:val="24"/>
                <w:szCs w:val="24"/>
                <w:lang w:val="en-US" w:eastAsia="zh-CN"/>
              </w:rPr>
              <w:t>.</w:t>
            </w:r>
            <w:r>
              <w:rPr>
                <w:rFonts w:hint="eastAsia" w:ascii="宋体" w:hAnsi="宋体" w:eastAsia="宋体" w:cs="宋体"/>
                <w:b/>
                <w:bCs/>
                <w:color w:val="auto"/>
                <w:kern w:val="0"/>
                <w:sz w:val="24"/>
                <w:szCs w:val="24"/>
                <w:lang w:val="en-US" w:eastAsia="zh-CN"/>
              </w:rPr>
              <w:t>档案导出功能：</w:t>
            </w:r>
            <w:r>
              <w:rPr>
                <w:rFonts w:hint="eastAsia" w:ascii="宋体" w:hAnsi="宋体" w:eastAsia="宋体" w:cs="宋体"/>
                <w:color w:val="auto"/>
                <w:sz w:val="24"/>
                <w:szCs w:val="24"/>
                <w:lang w:val="en-US" w:eastAsia="zh-CN"/>
              </w:rPr>
              <w:t>自定义导出某个时间段的档案信息，档案信息包含但不局限以下内容：头围，头围SDS，坐高，坐高SDS,臂展，身高，身高水平，父母身高修正的身高百分位，体重，体重营养水平，体重指数。</w:t>
            </w:r>
          </w:p>
          <w:p>
            <w:pPr>
              <w:numPr>
                <w:ilvl w:val="0"/>
                <w:numId w:val="0"/>
              </w:numPr>
              <w:rPr>
                <w:rFonts w:hint="eastAsia" w:ascii="宋体" w:hAnsi="宋体" w:eastAsia="宋体" w:cs="宋体"/>
                <w:color w:val="auto"/>
                <w:sz w:val="24"/>
                <w:szCs w:val="24"/>
                <w:lang w:val="en-US" w:eastAsia="zh-CN"/>
              </w:rPr>
            </w:pPr>
            <w:r>
              <w:rPr>
                <w:rFonts w:hint="eastAsia" w:ascii="宋体" w:hAnsi="宋体" w:eastAsia="宋体" w:cs="宋体"/>
                <w:b/>
                <w:bCs/>
                <w:color w:val="auto"/>
                <w:sz w:val="24"/>
                <w:szCs w:val="24"/>
                <w:lang w:val="en-US" w:eastAsia="zh-CN"/>
              </w:rPr>
              <w:t>17.</w:t>
            </w:r>
            <w:r>
              <w:rPr>
                <w:rFonts w:hint="eastAsia" w:ascii="宋体" w:hAnsi="宋体" w:eastAsia="宋体" w:cs="宋体"/>
                <w:b/>
                <w:bCs/>
                <w:color w:val="auto"/>
                <w:kern w:val="0"/>
                <w:sz w:val="24"/>
                <w:szCs w:val="24"/>
                <w:lang w:val="en-US" w:eastAsia="zh-CN"/>
              </w:rPr>
              <w:t>医生处方上传功能：</w:t>
            </w:r>
            <w:r>
              <w:rPr>
                <w:rFonts w:hint="eastAsia" w:ascii="宋体" w:hAnsi="宋体" w:eastAsia="宋体" w:cs="宋体"/>
                <w:color w:val="auto"/>
                <w:sz w:val="24"/>
                <w:szCs w:val="24"/>
                <w:lang w:val="en-US" w:eastAsia="zh-CN"/>
              </w:rPr>
              <w:t>在报告页面中的诊断结果及建议模块可以扫码或者本地上传处方信息，可以随时查看“历史医生处方”，可更好的调整用药或干预方案。</w:t>
            </w:r>
          </w:p>
          <w:p>
            <w:pPr>
              <w:numPr>
                <w:ilvl w:val="0"/>
                <w:numId w:val="0"/>
              </w:numPr>
              <w:ind w:leftChars="0"/>
              <w:rPr>
                <w:rFonts w:hint="eastAsia" w:ascii="宋体" w:hAnsi="宋体" w:eastAsia="宋体" w:cs="宋体"/>
                <w:color w:val="auto"/>
                <w:sz w:val="24"/>
                <w:szCs w:val="24"/>
                <w:lang w:val="en-US" w:eastAsia="zh-CN"/>
              </w:rPr>
            </w:pPr>
            <w:r>
              <w:rPr>
                <w:rFonts w:hint="eastAsia" w:ascii="宋体" w:hAnsi="宋体" w:eastAsia="宋体" w:cs="宋体"/>
                <w:b/>
                <w:bCs/>
                <w:color w:val="auto"/>
                <w:sz w:val="24"/>
                <w:szCs w:val="24"/>
                <w:lang w:val="en-US" w:eastAsia="zh-CN"/>
              </w:rPr>
              <w:t>18.</w:t>
            </w:r>
            <w:r>
              <w:rPr>
                <w:rFonts w:hint="eastAsia" w:ascii="宋体" w:hAnsi="宋体" w:eastAsia="宋体" w:cs="宋体"/>
                <w:color w:val="auto"/>
                <w:sz w:val="24"/>
                <w:szCs w:val="24"/>
                <w:lang w:val="en-US" w:eastAsia="zh-CN"/>
              </w:rPr>
              <w:t>支持儿童发育行为评估量表，具有电脑pc端和手机web页，分别可以评估和显示报告结果。电脑端和手机端医生开单，家长</w:t>
            </w:r>
            <w:r>
              <w:rPr>
                <w:rFonts w:hint="eastAsia" w:ascii="宋体" w:hAnsi="宋体" w:cs="宋体"/>
                <w:color w:val="auto"/>
                <w:sz w:val="24"/>
                <w:szCs w:val="24"/>
                <w:lang w:val="en-US" w:eastAsia="zh-CN"/>
              </w:rPr>
              <w:t>通过扫描二</w:t>
            </w:r>
            <w:r>
              <w:rPr>
                <w:rFonts w:hint="eastAsia" w:ascii="宋体" w:hAnsi="宋体" w:eastAsia="宋体" w:cs="宋体"/>
                <w:color w:val="auto"/>
                <w:kern w:val="0"/>
                <w:sz w:val="24"/>
                <w:szCs w:val="24"/>
                <w:lang w:val="en-US" w:eastAsia="zh-CN"/>
              </w:rPr>
              <w:t>维码</w:t>
            </w:r>
            <w:r>
              <w:rPr>
                <w:rFonts w:hint="eastAsia" w:ascii="宋体" w:hAnsi="宋体" w:cs="宋体"/>
                <w:color w:val="auto"/>
                <w:kern w:val="0"/>
                <w:sz w:val="24"/>
                <w:szCs w:val="24"/>
                <w:lang w:val="en-US" w:eastAsia="zh-CN"/>
              </w:rPr>
              <w:t>可</w:t>
            </w:r>
            <w:r>
              <w:rPr>
                <w:rFonts w:hint="eastAsia" w:ascii="宋体" w:hAnsi="宋体" w:eastAsia="宋体" w:cs="宋体"/>
                <w:color w:val="auto"/>
                <w:sz w:val="24"/>
                <w:szCs w:val="24"/>
                <w:lang w:val="en-US" w:eastAsia="zh-CN"/>
              </w:rPr>
              <w:t>查询报告结果，服务量表包括</w:t>
            </w:r>
            <w:r>
              <w:rPr>
                <w:rFonts w:hint="eastAsia" w:ascii="宋体" w:hAnsi="宋体" w:cs="宋体"/>
                <w:color w:val="auto"/>
                <w:sz w:val="24"/>
                <w:szCs w:val="24"/>
                <w:lang w:val="en-US" w:eastAsia="zh-CN"/>
              </w:rPr>
              <w:t>：</w:t>
            </w:r>
          </w:p>
          <w:p>
            <w:pPr>
              <w:numPr>
                <w:ilvl w:val="0"/>
                <w:numId w:val="0"/>
              </w:numPr>
              <w:ind w:left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PCMD学前儿童动作发展测评</w:t>
            </w:r>
          </w:p>
          <w:p>
            <w:pPr>
              <w:numPr>
                <w:ilvl w:val="0"/>
                <w:numId w:val="0"/>
              </w:numPr>
              <w:ind w:left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ELMS早期语言发育进程测评</w:t>
            </w:r>
          </w:p>
          <w:p>
            <w:pPr>
              <w:numPr>
                <w:ilvl w:val="0"/>
                <w:numId w:val="0"/>
              </w:numPr>
              <w:ind w:left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ACHENBACH儿童行为测评</w:t>
            </w:r>
          </w:p>
          <w:p>
            <w:pPr>
              <w:numPr>
                <w:ilvl w:val="0"/>
                <w:numId w:val="0"/>
              </w:numPr>
              <w:ind w:left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Weiss 功能性缺陷程度测评(父母)</w:t>
            </w:r>
          </w:p>
          <w:p>
            <w:pPr>
              <w:numPr>
                <w:ilvl w:val="0"/>
                <w:numId w:val="0"/>
              </w:numPr>
              <w:ind w:left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THOMAS婴儿气质测评</w:t>
            </w:r>
          </w:p>
          <w:p>
            <w:pPr>
              <w:numPr>
                <w:ilvl w:val="0"/>
                <w:numId w:val="0"/>
              </w:numPr>
              <w:ind w:left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PEM家长教育方法测评</w:t>
            </w:r>
          </w:p>
          <w:p>
            <w:pPr>
              <w:rPr>
                <w:rFonts w:hint="eastAsia" w:ascii="宋体" w:hAnsi="宋体" w:eastAsia="宋体" w:cs="宋体"/>
                <w:b w:val="0"/>
                <w:bCs w:val="0"/>
                <w:color w:val="auto"/>
                <w:kern w:val="0"/>
                <w:sz w:val="24"/>
                <w:szCs w:val="24"/>
                <w:lang w:val="en-US" w:eastAsia="zh-CN"/>
              </w:rPr>
            </w:pPr>
            <w:r>
              <w:rPr>
                <w:rFonts w:hint="eastAsia" w:ascii="宋体" w:hAnsi="宋体" w:cs="宋体"/>
                <w:b/>
                <w:bCs/>
                <w:color w:val="auto"/>
                <w:kern w:val="0"/>
                <w:sz w:val="24"/>
                <w:szCs w:val="24"/>
                <w:lang w:val="en-US" w:eastAsia="zh-CN"/>
              </w:rPr>
              <w:t>19.</w:t>
            </w:r>
            <w:r>
              <w:rPr>
                <w:rFonts w:hint="eastAsia" w:ascii="宋体" w:hAnsi="宋体" w:eastAsia="宋体" w:cs="宋体"/>
                <w:b/>
                <w:bCs/>
                <w:color w:val="auto"/>
                <w:kern w:val="0"/>
                <w:sz w:val="24"/>
                <w:szCs w:val="24"/>
                <w:lang w:val="en-US" w:eastAsia="zh-CN"/>
              </w:rPr>
              <w:t>罕见病管理功能：</w:t>
            </w:r>
            <w:r>
              <w:rPr>
                <w:rFonts w:hint="eastAsia" w:ascii="宋体" w:hAnsi="宋体" w:eastAsia="宋体" w:cs="宋体"/>
                <w:b w:val="0"/>
                <w:bCs w:val="0"/>
                <w:color w:val="auto"/>
                <w:kern w:val="0"/>
                <w:sz w:val="24"/>
                <w:szCs w:val="24"/>
                <w:lang w:val="en-US" w:eastAsia="zh-CN"/>
              </w:rPr>
              <w:t>内置不少于以下四种罕见病（软骨发育不全，甲基丙二酸血症，先天性肾上腺皮脂增生症，X连锁显性遗传性低磷血症性佝偻病），对此类患者进行信息记录归档，支持罕见病的快速搜索功能，可选择某一罕见病，快速筛选出相关病例。</w:t>
            </w:r>
          </w:p>
          <w:p>
            <w:pPr>
              <w:numPr>
                <w:ilvl w:val="0"/>
                <w:numId w:val="0"/>
              </w:numPr>
              <w:ind w:leftChars="0"/>
              <w:rPr>
                <w:rFonts w:hint="eastAsia" w:ascii="宋体" w:hAnsi="宋体" w:eastAsia="宋体" w:cs="宋体"/>
                <w:color w:val="auto"/>
                <w:sz w:val="24"/>
                <w:szCs w:val="24"/>
                <w:lang w:val="en-US" w:eastAsia="zh-CN"/>
              </w:rPr>
            </w:pPr>
            <w:r>
              <w:rPr>
                <w:rFonts w:hint="eastAsia" w:ascii="宋体" w:hAnsi="宋体" w:eastAsia="宋体" w:cs="宋体"/>
                <w:b/>
                <w:bCs/>
                <w:color w:val="auto"/>
                <w:sz w:val="24"/>
                <w:szCs w:val="24"/>
                <w:lang w:val="en-US" w:eastAsia="zh-CN"/>
              </w:rPr>
              <w:t>20、档案对接：</w:t>
            </w:r>
            <w:r>
              <w:rPr>
                <w:rFonts w:hint="eastAsia" w:ascii="宋体" w:hAnsi="宋体" w:eastAsia="宋体" w:cs="宋体"/>
                <w:color w:val="auto"/>
                <w:sz w:val="24"/>
                <w:szCs w:val="24"/>
                <w:lang w:val="en-US" w:eastAsia="zh-CN"/>
              </w:rPr>
              <w:t>本次实施，实现对接医院原有档案的患者儿童生长发育信息系统，读取原系统的档案，便于临床开展工作。</w:t>
            </w:r>
          </w:p>
          <w:p>
            <w:pPr>
              <w:numPr>
                <w:ilvl w:val="0"/>
                <w:numId w:val="0"/>
              </w:numPr>
              <w:ind w:leftChars="0"/>
              <w:rPr>
                <w:rFonts w:hint="default" w:asciiTheme="majorEastAsia" w:hAnsiTheme="majorEastAsia" w:eastAsiaTheme="majorEastAsia" w:cstheme="majorEastAsia"/>
                <w:color w:val="auto"/>
                <w:sz w:val="24"/>
                <w:szCs w:val="24"/>
                <w:lang w:val="en-US" w:eastAsia="zh-CN"/>
              </w:rPr>
            </w:pPr>
            <w:r>
              <w:rPr>
                <w:rFonts w:hint="eastAsia" w:ascii="宋体" w:hAnsi="宋体" w:eastAsia="宋体" w:cs="宋体"/>
                <w:b/>
                <w:bCs/>
                <w:color w:val="auto"/>
                <w:sz w:val="24"/>
                <w:szCs w:val="24"/>
                <w:lang w:val="en-US" w:eastAsia="zh-CN"/>
              </w:rPr>
              <w:t>21、云平台独立帐号与安全管理体系</w:t>
            </w:r>
            <w:r>
              <w:rPr>
                <w:rFonts w:hint="default" w:ascii="宋体" w:hAnsi="宋体" w:eastAsia="宋体" w:cs="宋体"/>
                <w:b/>
                <w:bCs/>
                <w:color w:val="auto"/>
                <w:sz w:val="24"/>
                <w:szCs w:val="24"/>
                <w:lang w:val="en-US" w:eastAsia="zh-CN"/>
              </w:rPr>
              <w:t>：</w:t>
            </w:r>
            <w:r>
              <w:rPr>
                <w:rFonts w:hint="default" w:ascii="宋体" w:hAnsi="宋体" w:eastAsia="宋体" w:cs="宋体"/>
                <w:color w:val="auto"/>
                <w:sz w:val="24"/>
                <w:szCs w:val="24"/>
                <w:lang w:val="en-US" w:eastAsia="zh-CN"/>
              </w:rPr>
              <w:t>分配专属的云平台独立帐号和高强度密码，支持自定义修改。可通过帐号便捷访问系统各项功能模块，实现数据的云端存储与同步，系统定期对帐号登录情况进行安全审计，及时发现异常登录行为并预警，保障数据访问安全与隐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trPr>
        <w:tc>
          <w:tcPr>
            <w:tcW w:w="1917" w:type="dxa"/>
            <w:vAlign w:val="center"/>
          </w:tcPr>
          <w:p>
            <w:pPr>
              <w:spacing w:line="360" w:lineRule="auto"/>
              <w:ind w:firstLine="221" w:firstLineChars="100"/>
              <w:jc w:val="both"/>
              <w:rPr>
                <w:rFonts w:hint="eastAsia" w:asciiTheme="majorEastAsia" w:hAnsiTheme="majorEastAsia" w:eastAsiaTheme="majorEastAsia" w:cstheme="majorEastAsia"/>
                <w:b/>
                <w:bCs/>
                <w:color w:val="auto"/>
                <w:sz w:val="22"/>
                <w:szCs w:val="22"/>
              </w:rPr>
            </w:pPr>
            <w:r>
              <w:rPr>
                <w:rFonts w:hint="eastAsia" w:asciiTheme="majorEastAsia" w:hAnsiTheme="majorEastAsia" w:eastAsiaTheme="majorEastAsia" w:cstheme="majorEastAsia"/>
                <w:b/>
                <w:bCs/>
                <w:color w:val="auto"/>
                <w:sz w:val="22"/>
                <w:szCs w:val="22"/>
                <w:lang w:val="en-US" w:eastAsia="zh-CN"/>
              </w:rPr>
              <w:t>维保</w:t>
            </w:r>
            <w:r>
              <w:rPr>
                <w:rFonts w:hint="eastAsia" w:asciiTheme="majorEastAsia" w:hAnsiTheme="majorEastAsia" w:eastAsiaTheme="majorEastAsia" w:cstheme="majorEastAsia"/>
                <w:b/>
                <w:bCs/>
                <w:color w:val="auto"/>
                <w:sz w:val="22"/>
                <w:szCs w:val="22"/>
              </w:rPr>
              <w:t>内容</w:t>
            </w:r>
          </w:p>
          <w:p>
            <w:pPr>
              <w:rPr>
                <w:rFonts w:hint="eastAsia" w:asciiTheme="majorEastAsia" w:hAnsiTheme="majorEastAsia" w:eastAsiaTheme="majorEastAsia" w:cstheme="majorEastAsia"/>
                <w:color w:val="auto"/>
                <w:sz w:val="20"/>
                <w:szCs w:val="22"/>
              </w:rPr>
            </w:pPr>
            <w:r>
              <w:rPr>
                <w:rFonts w:hint="eastAsia" w:asciiTheme="majorEastAsia" w:hAnsiTheme="majorEastAsia" w:eastAsiaTheme="majorEastAsia" w:cstheme="majorEastAsia"/>
                <w:b/>
                <w:bCs/>
                <w:color w:val="auto"/>
                <w:sz w:val="22"/>
                <w:szCs w:val="22"/>
              </w:rPr>
              <w:t>售后服务要求</w:t>
            </w:r>
          </w:p>
        </w:tc>
        <w:tc>
          <w:tcPr>
            <w:tcW w:w="8045" w:type="dxa"/>
            <w:vAlign w:val="center"/>
          </w:tcPr>
          <w:p>
            <w:pPr>
              <w:rPr>
                <w:rFonts w:hint="eastAsia"/>
                <w:color w:val="auto"/>
              </w:rPr>
            </w:pPr>
            <w:r>
              <w:rPr>
                <w:rFonts w:hint="eastAsia"/>
                <w:color w:val="auto"/>
              </w:rPr>
              <w:t>1</w:t>
            </w:r>
            <w:r>
              <w:rPr>
                <w:rFonts w:hint="eastAsia"/>
                <w:color w:val="auto"/>
                <w:lang w:eastAsia="zh-CN"/>
              </w:rPr>
              <w:t>、</w:t>
            </w:r>
            <w:r>
              <w:rPr>
                <w:rFonts w:hint="eastAsia"/>
                <w:color w:val="auto"/>
              </w:rPr>
              <w:t>培训要求：每年至少提供一次</w:t>
            </w:r>
            <w:r>
              <w:rPr>
                <w:rFonts w:hint="eastAsia"/>
                <w:color w:val="auto"/>
                <w:lang w:eastAsia="zh-CN"/>
              </w:rPr>
              <w:t>设备</w:t>
            </w:r>
            <w:r>
              <w:rPr>
                <w:rFonts w:hint="eastAsia"/>
                <w:color w:val="auto"/>
              </w:rPr>
              <w:t>使用培训。</w:t>
            </w:r>
          </w:p>
          <w:p>
            <w:pPr>
              <w:rPr>
                <w:rFonts w:hint="eastAsia"/>
                <w:color w:val="auto"/>
              </w:rPr>
            </w:pPr>
            <w:r>
              <w:rPr>
                <w:rFonts w:hint="eastAsia"/>
                <w:color w:val="auto"/>
                <w:lang w:val="en-US" w:eastAsia="zh-CN"/>
              </w:rPr>
              <w:t>2</w:t>
            </w:r>
            <w:bookmarkStart w:id="1" w:name="_GoBack"/>
            <w:bookmarkEnd w:id="1"/>
            <w:r>
              <w:rPr>
                <w:rFonts w:hint="eastAsia"/>
                <w:color w:val="auto"/>
                <w:lang w:eastAsia="zh-CN"/>
              </w:rPr>
              <w:t>、</w:t>
            </w:r>
            <w:r>
              <w:rPr>
                <w:rFonts w:hint="eastAsia"/>
                <w:color w:val="auto"/>
                <w:lang w:val="en-US" w:eastAsia="zh-CN"/>
              </w:rPr>
              <w:t>服务</w:t>
            </w:r>
            <w:r>
              <w:rPr>
                <w:rFonts w:hint="eastAsia"/>
                <w:color w:val="auto"/>
              </w:rPr>
              <w:t>期内提供免费安装、调试、</w:t>
            </w:r>
            <w:r>
              <w:rPr>
                <w:rFonts w:hint="eastAsia"/>
                <w:color w:val="auto"/>
                <w:lang w:val="en-US" w:eastAsia="zh-CN"/>
              </w:rPr>
              <w:t>在线</w:t>
            </w:r>
            <w:r>
              <w:rPr>
                <w:rFonts w:hint="eastAsia"/>
                <w:color w:val="auto"/>
              </w:rPr>
              <w:t>培训</w:t>
            </w:r>
            <w:r>
              <w:rPr>
                <w:rFonts w:hint="eastAsia"/>
                <w:color w:val="auto"/>
                <w:lang w:val="en-US" w:eastAsia="zh-CN"/>
              </w:rPr>
              <w:t>+视频讲解</w:t>
            </w:r>
            <w:r>
              <w:rPr>
                <w:rFonts w:hint="eastAsia"/>
                <w:color w:val="auto"/>
              </w:rPr>
              <w:t>、维护服务。</w:t>
            </w:r>
          </w:p>
          <w:p>
            <w:pPr>
              <w:rPr>
                <w:rFonts w:hint="eastAsia" w:asciiTheme="majorEastAsia" w:hAnsiTheme="majorEastAsia" w:eastAsiaTheme="majorEastAsia" w:cstheme="majorEastAsia"/>
                <w:color w:val="auto"/>
                <w:lang w:val="en-US" w:eastAsia="zh-CN"/>
              </w:rPr>
            </w:pPr>
            <w:r>
              <w:rPr>
                <w:rFonts w:hint="eastAsia"/>
                <w:color w:val="auto"/>
                <w:lang w:val="en-US" w:eastAsia="zh-CN"/>
              </w:rPr>
              <w:t>3</w:t>
            </w:r>
            <w:r>
              <w:rPr>
                <w:rFonts w:hint="eastAsia"/>
                <w:color w:val="auto"/>
                <w:lang w:eastAsia="zh-CN"/>
              </w:rPr>
              <w:t>、</w:t>
            </w:r>
            <w:r>
              <w:rPr>
                <w:rFonts w:hint="eastAsia"/>
                <w:color w:val="auto"/>
              </w:rPr>
              <w:t>故障响应时间、维修完成期限：根据医院需要，运维故障响应时效为</w:t>
            </w:r>
            <w:bookmarkStart w:id="0" w:name="_Hlk48309485"/>
            <w:r>
              <w:rPr>
                <w:rFonts w:hint="eastAsia"/>
                <w:color w:val="auto"/>
                <w:lang w:eastAsia="zh-CN"/>
              </w:rPr>
              <w:t>：</w:t>
            </w:r>
            <w:r>
              <w:rPr>
                <w:rFonts w:hint="eastAsia"/>
                <w:color w:val="auto"/>
              </w:rPr>
              <w:t>通过远程维护后，无法排除故障时，将派专门工程师，2小时内响应，48小时内</w:t>
            </w:r>
            <w:r>
              <w:rPr>
                <w:rFonts w:hint="eastAsia"/>
                <w:color w:val="auto"/>
                <w:lang w:eastAsia="zh-CN"/>
              </w:rPr>
              <w:t>（</w:t>
            </w:r>
            <w:r>
              <w:rPr>
                <w:rFonts w:hint="eastAsia"/>
                <w:color w:val="auto"/>
                <w:lang w:val="en-US" w:eastAsia="zh-CN"/>
              </w:rPr>
              <w:t>不含路程</w:t>
            </w:r>
            <w:r>
              <w:rPr>
                <w:rFonts w:hint="eastAsia"/>
                <w:color w:val="auto"/>
                <w:lang w:eastAsia="zh-CN"/>
              </w:rPr>
              <w:t>）</w:t>
            </w:r>
            <w:r>
              <w:rPr>
                <w:rFonts w:hint="eastAsia"/>
                <w:color w:val="auto"/>
              </w:rPr>
              <w:t>到达现场进行服务。</w:t>
            </w:r>
            <w:bookmarkEnd w:id="0"/>
          </w:p>
        </w:tc>
      </w:tr>
    </w:tbl>
    <w:p>
      <w:pPr>
        <w:rPr>
          <w:rFonts w:hint="eastAsia" w:ascii="方正书宋简体" w:hAnsi="方正书宋简体" w:eastAsia="方正书宋简体" w:cs="方正书宋简体"/>
          <w:b/>
          <w:bCs/>
          <w:sz w:val="28"/>
          <w:szCs w:val="28"/>
          <w:lang w:val="en-US" w:eastAsia="zh-CN"/>
        </w:rPr>
      </w:pPr>
    </w:p>
    <w:sectPr>
      <w:headerReference r:id="rId3" w:type="default"/>
      <w:footerReference r:id="rId4" w:type="default"/>
      <w:pgSz w:w="11906" w:h="16838"/>
      <w:pgMar w:top="1100" w:right="1080" w:bottom="1100" w:left="1080" w:header="510"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
    <w:altName w:val="仿宋"/>
    <w:panose1 w:val="03000509000000000000"/>
    <w:charset w:val="86"/>
    <w:family w:val="script"/>
    <w:pitch w:val="default"/>
    <w:sig w:usb0="00000000" w:usb1="00000000" w:usb2="00000010" w:usb3="00000000" w:csb0="00040000" w:csb1="00000000"/>
  </w:font>
  <w:font w:name="Calibri Light">
    <w:panose1 w:val="020F0302020204030204"/>
    <w:charset w:val="00"/>
    <w:family w:val="swiss"/>
    <w:pitch w:val="default"/>
    <w:sig w:usb0="E4002EFF" w:usb1="C200247B" w:usb2="00000009" w:usb3="00000000" w:csb0="200001FF" w:csb1="00000000"/>
  </w:font>
  <w:font w:name="方正书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rPr>
        <w:rFonts w:hint="default" w:eastAsia="宋体"/>
        <w:lang w:val="en-US" w:eastAsia="zh-CN"/>
      </w:rPr>
    </w:pPr>
    <w:r>
      <w:drawing>
        <wp:inline distT="0" distB="0" distL="114300" distR="114300">
          <wp:extent cx="1430020" cy="357505"/>
          <wp:effectExtent l="0" t="0" r="17780" b="4445"/>
          <wp:docPr id="2" name="图片 3" descr="log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logo4"/>
                  <pic:cNvPicPr>
                    <a:picLocks noChangeAspect="1"/>
                  </pic:cNvPicPr>
                </pic:nvPicPr>
                <pic:blipFill>
                  <a:blip r:embed="rId1"/>
                  <a:stretch>
                    <a:fillRect/>
                  </a:stretch>
                </pic:blipFill>
                <pic:spPr>
                  <a:xfrm>
                    <a:off x="0" y="0"/>
                    <a:ext cx="1430020" cy="35750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xNWUwOTQ2NzM3YjA0ZDg1YmY0M2U0NDkxYWYzN2EifQ=="/>
  </w:docVars>
  <w:rsids>
    <w:rsidRoot w:val="00A06A05"/>
    <w:rsid w:val="00321CCF"/>
    <w:rsid w:val="003B643A"/>
    <w:rsid w:val="005D10DF"/>
    <w:rsid w:val="009C326B"/>
    <w:rsid w:val="009D0EA3"/>
    <w:rsid w:val="00A06A05"/>
    <w:rsid w:val="00BB3116"/>
    <w:rsid w:val="00CB4104"/>
    <w:rsid w:val="010F7AE6"/>
    <w:rsid w:val="0122762A"/>
    <w:rsid w:val="01714809"/>
    <w:rsid w:val="01924994"/>
    <w:rsid w:val="01A55FD0"/>
    <w:rsid w:val="01C012ED"/>
    <w:rsid w:val="025B0D98"/>
    <w:rsid w:val="02EE59E6"/>
    <w:rsid w:val="030A6CC4"/>
    <w:rsid w:val="03144334"/>
    <w:rsid w:val="03D46096"/>
    <w:rsid w:val="03EC0D8E"/>
    <w:rsid w:val="046F60D4"/>
    <w:rsid w:val="05DE36F7"/>
    <w:rsid w:val="05EC08CC"/>
    <w:rsid w:val="0676443D"/>
    <w:rsid w:val="06BD47C8"/>
    <w:rsid w:val="071811CF"/>
    <w:rsid w:val="071C26D0"/>
    <w:rsid w:val="073B3CCB"/>
    <w:rsid w:val="0743694D"/>
    <w:rsid w:val="07BB1364"/>
    <w:rsid w:val="08E458C1"/>
    <w:rsid w:val="08F939AC"/>
    <w:rsid w:val="0928255D"/>
    <w:rsid w:val="098619C8"/>
    <w:rsid w:val="098F1CD1"/>
    <w:rsid w:val="09AD65FB"/>
    <w:rsid w:val="09DD6AF7"/>
    <w:rsid w:val="0A0E0EF7"/>
    <w:rsid w:val="0A0E70E1"/>
    <w:rsid w:val="0A1401FD"/>
    <w:rsid w:val="0A886720"/>
    <w:rsid w:val="0A9908E0"/>
    <w:rsid w:val="0ABA25CD"/>
    <w:rsid w:val="0AD60489"/>
    <w:rsid w:val="0AD63931"/>
    <w:rsid w:val="0AF84C0B"/>
    <w:rsid w:val="0C44594F"/>
    <w:rsid w:val="0C7D0506"/>
    <w:rsid w:val="0C851ECC"/>
    <w:rsid w:val="0C9703B7"/>
    <w:rsid w:val="0CD126FE"/>
    <w:rsid w:val="0D0904E0"/>
    <w:rsid w:val="0D1C2E5D"/>
    <w:rsid w:val="0E364E11"/>
    <w:rsid w:val="0E3F0579"/>
    <w:rsid w:val="0E486385"/>
    <w:rsid w:val="0E994600"/>
    <w:rsid w:val="0EA1140C"/>
    <w:rsid w:val="0F167DF1"/>
    <w:rsid w:val="0F1C7789"/>
    <w:rsid w:val="0F717623"/>
    <w:rsid w:val="0F8404DC"/>
    <w:rsid w:val="0FB00BF3"/>
    <w:rsid w:val="102D3EDB"/>
    <w:rsid w:val="10391414"/>
    <w:rsid w:val="10AA7D41"/>
    <w:rsid w:val="10B54A25"/>
    <w:rsid w:val="10B80B21"/>
    <w:rsid w:val="10EC50CF"/>
    <w:rsid w:val="1191086F"/>
    <w:rsid w:val="119F0F1F"/>
    <w:rsid w:val="120A03A1"/>
    <w:rsid w:val="120C6796"/>
    <w:rsid w:val="12451A1F"/>
    <w:rsid w:val="12AF1625"/>
    <w:rsid w:val="12FC0AFD"/>
    <w:rsid w:val="133E0263"/>
    <w:rsid w:val="13E1210D"/>
    <w:rsid w:val="14144A9F"/>
    <w:rsid w:val="14C16FAC"/>
    <w:rsid w:val="153F46C7"/>
    <w:rsid w:val="154E4A67"/>
    <w:rsid w:val="15A16A8B"/>
    <w:rsid w:val="161C0BA1"/>
    <w:rsid w:val="165C08BB"/>
    <w:rsid w:val="167776BC"/>
    <w:rsid w:val="16886A96"/>
    <w:rsid w:val="16A87EF9"/>
    <w:rsid w:val="178A44B3"/>
    <w:rsid w:val="17C047BD"/>
    <w:rsid w:val="18531169"/>
    <w:rsid w:val="1890511D"/>
    <w:rsid w:val="18D07582"/>
    <w:rsid w:val="1926374C"/>
    <w:rsid w:val="194F6B34"/>
    <w:rsid w:val="19F52E15"/>
    <w:rsid w:val="1A757486"/>
    <w:rsid w:val="1A796756"/>
    <w:rsid w:val="1AA90FDA"/>
    <w:rsid w:val="1AD77114"/>
    <w:rsid w:val="1AFE3A26"/>
    <w:rsid w:val="1BCE5624"/>
    <w:rsid w:val="1C0971C8"/>
    <w:rsid w:val="1D097B94"/>
    <w:rsid w:val="1D352737"/>
    <w:rsid w:val="1DC469C3"/>
    <w:rsid w:val="1DE731CF"/>
    <w:rsid w:val="1E3D5D76"/>
    <w:rsid w:val="1E440C0C"/>
    <w:rsid w:val="1E4427E1"/>
    <w:rsid w:val="1E580D85"/>
    <w:rsid w:val="1E6360D1"/>
    <w:rsid w:val="1EA07420"/>
    <w:rsid w:val="1FBC4A4A"/>
    <w:rsid w:val="20255ABA"/>
    <w:rsid w:val="20E608E9"/>
    <w:rsid w:val="20F64336"/>
    <w:rsid w:val="21483877"/>
    <w:rsid w:val="21555156"/>
    <w:rsid w:val="224D0C12"/>
    <w:rsid w:val="22E76282"/>
    <w:rsid w:val="23ED78C8"/>
    <w:rsid w:val="24547A7F"/>
    <w:rsid w:val="24951C15"/>
    <w:rsid w:val="24A46A73"/>
    <w:rsid w:val="253A1FDE"/>
    <w:rsid w:val="2556149D"/>
    <w:rsid w:val="25561E30"/>
    <w:rsid w:val="25A0753E"/>
    <w:rsid w:val="261C54E7"/>
    <w:rsid w:val="2689183C"/>
    <w:rsid w:val="26D27C2D"/>
    <w:rsid w:val="2705193C"/>
    <w:rsid w:val="27392E97"/>
    <w:rsid w:val="27466863"/>
    <w:rsid w:val="276460F3"/>
    <w:rsid w:val="27B10038"/>
    <w:rsid w:val="27C459E8"/>
    <w:rsid w:val="28810F26"/>
    <w:rsid w:val="289B2E9E"/>
    <w:rsid w:val="28F7314F"/>
    <w:rsid w:val="2901757B"/>
    <w:rsid w:val="29781F6D"/>
    <w:rsid w:val="2AD45ABA"/>
    <w:rsid w:val="2B6942DA"/>
    <w:rsid w:val="2B712262"/>
    <w:rsid w:val="2BAA796D"/>
    <w:rsid w:val="2BDD02E6"/>
    <w:rsid w:val="2C5E54E6"/>
    <w:rsid w:val="2CA04F76"/>
    <w:rsid w:val="2CCC5D72"/>
    <w:rsid w:val="2D341C89"/>
    <w:rsid w:val="2D5269EE"/>
    <w:rsid w:val="2D574004"/>
    <w:rsid w:val="2D7823B7"/>
    <w:rsid w:val="2D8154D4"/>
    <w:rsid w:val="2DA36646"/>
    <w:rsid w:val="2E041A92"/>
    <w:rsid w:val="2E885BE2"/>
    <w:rsid w:val="2EDC3A19"/>
    <w:rsid w:val="2F377112"/>
    <w:rsid w:val="2F4A5167"/>
    <w:rsid w:val="2FBB06DB"/>
    <w:rsid w:val="304652C2"/>
    <w:rsid w:val="304D122A"/>
    <w:rsid w:val="306254E3"/>
    <w:rsid w:val="30BD5D82"/>
    <w:rsid w:val="31163A60"/>
    <w:rsid w:val="317D272A"/>
    <w:rsid w:val="31D40DC5"/>
    <w:rsid w:val="323F0ED4"/>
    <w:rsid w:val="325468B5"/>
    <w:rsid w:val="32BD11A3"/>
    <w:rsid w:val="32DF16F4"/>
    <w:rsid w:val="33835B53"/>
    <w:rsid w:val="33C27B95"/>
    <w:rsid w:val="33E9122E"/>
    <w:rsid w:val="353A31DF"/>
    <w:rsid w:val="35AE2C2F"/>
    <w:rsid w:val="35AE4F5B"/>
    <w:rsid w:val="35FB6697"/>
    <w:rsid w:val="36431B73"/>
    <w:rsid w:val="378376E6"/>
    <w:rsid w:val="37A04760"/>
    <w:rsid w:val="37BA5A48"/>
    <w:rsid w:val="37D34FD4"/>
    <w:rsid w:val="37F16FE3"/>
    <w:rsid w:val="385E1F0D"/>
    <w:rsid w:val="39150199"/>
    <w:rsid w:val="39B81941"/>
    <w:rsid w:val="3A966B08"/>
    <w:rsid w:val="3AA87CD5"/>
    <w:rsid w:val="3ABB4071"/>
    <w:rsid w:val="3B5F6786"/>
    <w:rsid w:val="3C0B4FF3"/>
    <w:rsid w:val="3C7713BE"/>
    <w:rsid w:val="3C7C5586"/>
    <w:rsid w:val="3CF7427B"/>
    <w:rsid w:val="3D15212E"/>
    <w:rsid w:val="3D306FE6"/>
    <w:rsid w:val="3D3F2F96"/>
    <w:rsid w:val="3D9031DF"/>
    <w:rsid w:val="3E4B54BF"/>
    <w:rsid w:val="3ED5611A"/>
    <w:rsid w:val="3F166D4E"/>
    <w:rsid w:val="3F7E19D7"/>
    <w:rsid w:val="3FFB6CA2"/>
    <w:rsid w:val="40091224"/>
    <w:rsid w:val="40094199"/>
    <w:rsid w:val="4043638A"/>
    <w:rsid w:val="40AF604D"/>
    <w:rsid w:val="4138097F"/>
    <w:rsid w:val="4144496E"/>
    <w:rsid w:val="41A30F97"/>
    <w:rsid w:val="41C77552"/>
    <w:rsid w:val="424010B3"/>
    <w:rsid w:val="4270298A"/>
    <w:rsid w:val="43561376"/>
    <w:rsid w:val="43735170"/>
    <w:rsid w:val="43821F20"/>
    <w:rsid w:val="441D01C5"/>
    <w:rsid w:val="44784B34"/>
    <w:rsid w:val="44DB52CB"/>
    <w:rsid w:val="44E34FF7"/>
    <w:rsid w:val="44F80338"/>
    <w:rsid w:val="44FE26A8"/>
    <w:rsid w:val="453D576D"/>
    <w:rsid w:val="453E18DA"/>
    <w:rsid w:val="458A37F8"/>
    <w:rsid w:val="45FD44C0"/>
    <w:rsid w:val="45FE550D"/>
    <w:rsid w:val="466D31A1"/>
    <w:rsid w:val="471C78E7"/>
    <w:rsid w:val="47213261"/>
    <w:rsid w:val="47543636"/>
    <w:rsid w:val="475A0604"/>
    <w:rsid w:val="47B02837"/>
    <w:rsid w:val="47CA7D9C"/>
    <w:rsid w:val="488B082F"/>
    <w:rsid w:val="49047EA0"/>
    <w:rsid w:val="490531FD"/>
    <w:rsid w:val="492E012F"/>
    <w:rsid w:val="499642F7"/>
    <w:rsid w:val="4A126F79"/>
    <w:rsid w:val="4A157354"/>
    <w:rsid w:val="4A581B83"/>
    <w:rsid w:val="4A8F4DB9"/>
    <w:rsid w:val="4AB8288A"/>
    <w:rsid w:val="4ACE1952"/>
    <w:rsid w:val="4BAA66CE"/>
    <w:rsid w:val="4BB52B12"/>
    <w:rsid w:val="4BC53E55"/>
    <w:rsid w:val="4BD0468E"/>
    <w:rsid w:val="4C0A7B78"/>
    <w:rsid w:val="4CCA7EF7"/>
    <w:rsid w:val="4CCF0FE9"/>
    <w:rsid w:val="4D1E0452"/>
    <w:rsid w:val="4D2B7E00"/>
    <w:rsid w:val="4D2F27AC"/>
    <w:rsid w:val="4D904671"/>
    <w:rsid w:val="4F153B94"/>
    <w:rsid w:val="4F7E5B53"/>
    <w:rsid w:val="4F883E3E"/>
    <w:rsid w:val="4F8A53EF"/>
    <w:rsid w:val="4FB353A7"/>
    <w:rsid w:val="4FCE3508"/>
    <w:rsid w:val="4FFF1447"/>
    <w:rsid w:val="50731F61"/>
    <w:rsid w:val="50DF0ACF"/>
    <w:rsid w:val="51170AC8"/>
    <w:rsid w:val="51862D65"/>
    <w:rsid w:val="522823C7"/>
    <w:rsid w:val="525C4025"/>
    <w:rsid w:val="527406AC"/>
    <w:rsid w:val="530444F5"/>
    <w:rsid w:val="53185B55"/>
    <w:rsid w:val="5352430F"/>
    <w:rsid w:val="53587C4B"/>
    <w:rsid w:val="535C5B71"/>
    <w:rsid w:val="539E7A17"/>
    <w:rsid w:val="53BE473C"/>
    <w:rsid w:val="54003FED"/>
    <w:rsid w:val="54222CA1"/>
    <w:rsid w:val="542D7251"/>
    <w:rsid w:val="54412A8F"/>
    <w:rsid w:val="545A0FC2"/>
    <w:rsid w:val="54A41E75"/>
    <w:rsid w:val="54A91FAB"/>
    <w:rsid w:val="54BC6362"/>
    <w:rsid w:val="558A2919"/>
    <w:rsid w:val="55B67B46"/>
    <w:rsid w:val="55CC140D"/>
    <w:rsid w:val="55D16301"/>
    <w:rsid w:val="55EC4C90"/>
    <w:rsid w:val="55F7377A"/>
    <w:rsid w:val="56317EDF"/>
    <w:rsid w:val="5647208E"/>
    <w:rsid w:val="56C07A61"/>
    <w:rsid w:val="578134E3"/>
    <w:rsid w:val="57A11D07"/>
    <w:rsid w:val="57BC0FD2"/>
    <w:rsid w:val="588A70BB"/>
    <w:rsid w:val="58A52927"/>
    <w:rsid w:val="58B82CB3"/>
    <w:rsid w:val="59867B36"/>
    <w:rsid w:val="5A2449F8"/>
    <w:rsid w:val="5A2B3CBF"/>
    <w:rsid w:val="5A6F29E7"/>
    <w:rsid w:val="5ACC0C1C"/>
    <w:rsid w:val="5B637CF1"/>
    <w:rsid w:val="5B850B85"/>
    <w:rsid w:val="5B9415F6"/>
    <w:rsid w:val="5C1B4B66"/>
    <w:rsid w:val="5C7C681B"/>
    <w:rsid w:val="5CF8285E"/>
    <w:rsid w:val="5D87118C"/>
    <w:rsid w:val="5DC126BE"/>
    <w:rsid w:val="5E0E27D4"/>
    <w:rsid w:val="5E4A70E9"/>
    <w:rsid w:val="5E702CD8"/>
    <w:rsid w:val="5ED37452"/>
    <w:rsid w:val="5EFE2E50"/>
    <w:rsid w:val="60023C8F"/>
    <w:rsid w:val="606E3563"/>
    <w:rsid w:val="615A7643"/>
    <w:rsid w:val="62065A1D"/>
    <w:rsid w:val="62395347"/>
    <w:rsid w:val="626D5D71"/>
    <w:rsid w:val="627E52F3"/>
    <w:rsid w:val="632F22FD"/>
    <w:rsid w:val="63400ABB"/>
    <w:rsid w:val="64730F33"/>
    <w:rsid w:val="647C22F3"/>
    <w:rsid w:val="64A96FB2"/>
    <w:rsid w:val="65393A14"/>
    <w:rsid w:val="6548248A"/>
    <w:rsid w:val="65CF6275"/>
    <w:rsid w:val="65F91B21"/>
    <w:rsid w:val="66481078"/>
    <w:rsid w:val="66E529C7"/>
    <w:rsid w:val="67681934"/>
    <w:rsid w:val="67791502"/>
    <w:rsid w:val="67982DDE"/>
    <w:rsid w:val="67F33671"/>
    <w:rsid w:val="68093B71"/>
    <w:rsid w:val="68B4075D"/>
    <w:rsid w:val="68EF0FB9"/>
    <w:rsid w:val="694C3645"/>
    <w:rsid w:val="69607B2D"/>
    <w:rsid w:val="69D25775"/>
    <w:rsid w:val="69DC4A54"/>
    <w:rsid w:val="6A497BD8"/>
    <w:rsid w:val="6A7410F9"/>
    <w:rsid w:val="6A776ACE"/>
    <w:rsid w:val="6AEE5A3A"/>
    <w:rsid w:val="6B050EAD"/>
    <w:rsid w:val="6B162216"/>
    <w:rsid w:val="6BAF228A"/>
    <w:rsid w:val="6C276CBC"/>
    <w:rsid w:val="6C2878BC"/>
    <w:rsid w:val="6C566FD8"/>
    <w:rsid w:val="6CA64085"/>
    <w:rsid w:val="6CA95923"/>
    <w:rsid w:val="6CAA1F8A"/>
    <w:rsid w:val="6CBC11B2"/>
    <w:rsid w:val="6DE57B4B"/>
    <w:rsid w:val="6DEF40D7"/>
    <w:rsid w:val="6EBA2563"/>
    <w:rsid w:val="6ECB3DD8"/>
    <w:rsid w:val="6F8B1389"/>
    <w:rsid w:val="6F9C0007"/>
    <w:rsid w:val="6FF55024"/>
    <w:rsid w:val="70143D3F"/>
    <w:rsid w:val="70405580"/>
    <w:rsid w:val="70991EA8"/>
    <w:rsid w:val="709F1517"/>
    <w:rsid w:val="70C72B02"/>
    <w:rsid w:val="721841F2"/>
    <w:rsid w:val="724D7A26"/>
    <w:rsid w:val="7281340F"/>
    <w:rsid w:val="72A921D9"/>
    <w:rsid w:val="72B53423"/>
    <w:rsid w:val="72F84F0E"/>
    <w:rsid w:val="73E678B3"/>
    <w:rsid w:val="74460A69"/>
    <w:rsid w:val="746E5488"/>
    <w:rsid w:val="7499513D"/>
    <w:rsid w:val="75851EA5"/>
    <w:rsid w:val="760360A4"/>
    <w:rsid w:val="767C6958"/>
    <w:rsid w:val="77133BBA"/>
    <w:rsid w:val="775A2F0A"/>
    <w:rsid w:val="77F36AD8"/>
    <w:rsid w:val="786723C2"/>
    <w:rsid w:val="78697D6B"/>
    <w:rsid w:val="7969393F"/>
    <w:rsid w:val="79F66766"/>
    <w:rsid w:val="7A4F0DEE"/>
    <w:rsid w:val="7AB834A0"/>
    <w:rsid w:val="7AD32C69"/>
    <w:rsid w:val="7AF869A1"/>
    <w:rsid w:val="7B3D09F3"/>
    <w:rsid w:val="7B524F03"/>
    <w:rsid w:val="7B9B0D88"/>
    <w:rsid w:val="7BD055D5"/>
    <w:rsid w:val="7C120DEF"/>
    <w:rsid w:val="7C620798"/>
    <w:rsid w:val="7C9A7BCA"/>
    <w:rsid w:val="7D853013"/>
    <w:rsid w:val="7DA97B41"/>
    <w:rsid w:val="7DD1284A"/>
    <w:rsid w:val="7DD34B4F"/>
    <w:rsid w:val="7DE639A4"/>
    <w:rsid w:val="7E4B485B"/>
    <w:rsid w:val="7E7B504E"/>
    <w:rsid w:val="7EC25810"/>
    <w:rsid w:val="7FCD292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left"/>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Plain Text"/>
    <w:unhideWhenUsed/>
    <w:qFormat/>
    <w:uiPriority w:val="99"/>
    <w:pPr>
      <w:widowControl w:val="0"/>
      <w:jc w:val="both"/>
    </w:pPr>
    <w:rPr>
      <w:rFonts w:ascii="宋体" w:hAnsi="Courier New" w:eastAsia="方正仿宋" w:cs="Times New Roman"/>
      <w:kern w:val="2"/>
      <w:sz w:val="32"/>
      <w:szCs w:val="24"/>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link w:val="10"/>
    <w:qFormat/>
    <w:uiPriority w:val="0"/>
    <w:pPr>
      <w:spacing w:before="240" w:after="60"/>
      <w:jc w:val="center"/>
      <w:outlineLvl w:val="0"/>
    </w:pPr>
    <w:rPr>
      <w:rFonts w:ascii="Calibri Light" w:hAnsi="Calibri Light" w:cs="Times New Roman"/>
      <w:b/>
      <w:bCs/>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标题 Char"/>
    <w:link w:val="6"/>
    <w:qFormat/>
    <w:uiPriority w:val="0"/>
    <w:rPr>
      <w:rFonts w:ascii="Calibri Light" w:hAnsi="Calibri Light" w:cs="Times New Roman"/>
      <w:b/>
      <w:bCs/>
      <w:kern w:val="2"/>
      <w:sz w:val="32"/>
      <w:szCs w:val="32"/>
    </w:rPr>
  </w:style>
  <w:style w:type="paragraph" w:customStyle="1" w:styleId="11">
    <w:name w:val="样式7"/>
    <w:basedOn w:val="1"/>
    <w:link w:val="12"/>
    <w:qFormat/>
    <w:uiPriority w:val="0"/>
    <w:pPr>
      <w:jc w:val="center"/>
    </w:pPr>
    <w:rPr>
      <w:b/>
      <w:color w:val="FF0000"/>
      <w:sz w:val="24"/>
    </w:rPr>
  </w:style>
  <w:style w:type="character" w:customStyle="1" w:styleId="12">
    <w:name w:val="样式7 Char"/>
    <w:link w:val="11"/>
    <w:qFormat/>
    <w:uiPriority w:val="0"/>
    <w:rPr>
      <w:b/>
      <w:color w:val="FF0000"/>
      <w:sz w:val="24"/>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2</Pages>
  <Words>1752</Words>
  <Characters>1921</Characters>
  <Lines>3</Lines>
  <Paragraphs>1</Paragraphs>
  <TotalTime>12</TotalTime>
  <ScaleCrop>false</ScaleCrop>
  <LinksUpToDate>false</LinksUpToDate>
  <CharactersWithSpaces>1935</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2020-03-31T01:30:00Z</dcterms:created>
  <dc:creator>1</dc:creator>
  <cp:lastModifiedBy>lenovo</cp:lastModifiedBy>
  <cp:lastPrinted>2025-06-30T09:04:17Z</cp:lastPrinted>
  <dcterms:modified xsi:type="dcterms:W3CDTF">2025-06-30T09:05:05Z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F8AC6A0F8AD84E2F94CE6456337E2484_13</vt:lpwstr>
  </property>
  <property fmtid="{D5CDD505-2E9C-101B-9397-08002B2CF9AE}" pid="4" name="KSOTemplateDocerSaveRecord">
    <vt:lpwstr>eyJoZGlkIjoiNWQyOThhYThhMTZkZjc4ODdhZGE5YTFiNmY2NmQ0ZGMiLCJ1c2VySWQiOiIyOTYzMTExNzkifQ==</vt:lpwstr>
  </property>
</Properties>
</file>